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2">
      <w:pPr>
        <w:keepNext w:val="0"/>
        <w:keepLines w:val="0"/>
        <w:pageBreakBefore w:val="0"/>
        <w:widowControl w:val="0"/>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pStyle w:val="Title"/>
        <w:spacing w:after="200" w:before="120" w:line="240" w:lineRule="auto"/>
        <w:rPr>
          <w:rFonts w:ascii="Arial" w:cs="Arial" w:eastAsia="Arial" w:hAnsi="Arial"/>
          <w:sz w:val="36"/>
          <w:szCs w:val="36"/>
        </w:rPr>
      </w:pPr>
      <w:bookmarkStart w:colFirst="0" w:colLast="0" w:name="_4pc9joctbj5y" w:id="0"/>
      <w:bookmarkEnd w:id="0"/>
      <w:r w:rsidDel="00000000" w:rsidR="00000000" w:rsidRPr="00000000">
        <w:rPr>
          <w:rFonts w:ascii="Arial" w:cs="Arial" w:eastAsia="Arial" w:hAnsi="Arial"/>
          <w:sz w:val="36"/>
          <w:szCs w:val="36"/>
          <w:rtl w:val="0"/>
        </w:rPr>
        <w:t xml:space="preserve">Call-Off Schedule 20 (Call-Off Specification)</w:t>
      </w:r>
    </w:p>
    <w:p w:rsidR="00000000" w:rsidDel="00000000" w:rsidP="00000000" w:rsidRDefault="00000000" w:rsidRPr="00000000" w14:paraId="00000004">
      <w:pPr>
        <w:tabs>
          <w:tab w:val="left" w:leader="none" w:pos="709"/>
        </w:tabs>
        <w:spacing w:after="120" w:before="120" w:line="240" w:lineRule="auto"/>
        <w:rPr>
          <w:rFonts w:ascii="Arial" w:cs="Arial" w:eastAsia="Arial" w:hAnsi="Arial"/>
          <w:sz w:val="24"/>
          <w:szCs w:val="24"/>
        </w:rPr>
      </w:pPr>
      <w:bookmarkStart w:colFirst="0" w:colLast="0" w:name="_dw01uti9ztoq" w:id="1"/>
      <w:bookmarkEnd w:id="1"/>
      <w:r w:rsidDel="00000000" w:rsidR="00000000" w:rsidRPr="00000000">
        <w:rPr>
          <w:rtl w:val="0"/>
        </w:rPr>
      </w:r>
    </w:p>
    <w:p w:rsidR="00000000" w:rsidDel="00000000" w:rsidP="00000000" w:rsidRDefault="00000000" w:rsidRPr="00000000" w14:paraId="00000005">
      <w:pPr>
        <w:pStyle w:val="Subtitle"/>
        <w:shd w:fill="ffffff" w:val="clear"/>
        <w:tabs>
          <w:tab w:val="left" w:leader="none" w:pos="709"/>
        </w:tabs>
        <w:rPr/>
      </w:pPr>
      <w:bookmarkStart w:colFirst="0" w:colLast="0" w:name="_r1rh7wanu85u" w:id="2"/>
      <w:bookmarkEnd w:id="2"/>
      <w:r w:rsidDel="00000000" w:rsidR="00000000" w:rsidRPr="00000000">
        <w:rPr>
          <w:rtl w:val="0"/>
        </w:rPr>
        <w:t xml:space="preserve">INTRODUCTION</w:t>
      </w:r>
    </w:p>
    <w:p w:rsidR="00000000" w:rsidDel="00000000" w:rsidP="00000000" w:rsidRDefault="00000000" w:rsidRPr="00000000" w14:paraId="00000006">
      <w:pPr>
        <w:tabs>
          <w:tab w:val="left" w:leader="none" w:pos="284"/>
          <w:tab w:val="left" w:leader="none" w:pos="709"/>
        </w:tabs>
        <w:spacing w:after="120" w:before="12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This Schedule sets out the characteristics of the Deliverables that the Supplier will be required to make to the Buyer under this Call-Off Contract.</w:t>
      </w:r>
    </w:p>
    <w:p w:rsidR="00000000" w:rsidDel="00000000" w:rsidP="00000000" w:rsidRDefault="00000000" w:rsidRPr="00000000" w14:paraId="00000007">
      <w:pPr>
        <w:tabs>
          <w:tab w:val="left" w:leader="none" w:pos="284"/>
          <w:tab w:val="left" w:leader="none" w:pos="709"/>
        </w:tabs>
        <w:spacing w:after="120" w:before="12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Deliverables and any Standards set out may be adapted by a Buyer during a Competitive Selection Process to reflect its Deliverables requirements for entering a particular Call-Off Contract. </w:t>
      </w:r>
    </w:p>
    <w:p w:rsidR="00000000" w:rsidDel="00000000" w:rsidP="00000000" w:rsidRDefault="00000000" w:rsidRPr="00000000" w14:paraId="00000008">
      <w:pPr>
        <w:tabs>
          <w:tab w:val="left" w:leader="none" w:pos="284"/>
          <w:tab w:val="left" w:leader="none" w:pos="709"/>
        </w:tabs>
        <w:spacing w:after="120" w:before="120" w:line="240" w:lineRule="auto"/>
        <w:rPr/>
      </w:pPr>
      <w:r w:rsidDel="00000000" w:rsidR="00000000" w:rsidRPr="00000000">
        <w:rPr>
          <w:rFonts w:ascii="Arial" w:cs="Arial" w:eastAsia="Arial" w:hAnsi="Arial"/>
          <w:b w:val="1"/>
          <w:bCs w:val="1"/>
          <w:sz w:val="24"/>
          <w:szCs w:val="24"/>
          <w:highlight w:val="green"/>
          <w:rtl w:val="0"/>
        </w:rPr>
        <w:t xml:space="preserve">[Buyer Guidance</w:t>
      </w:r>
      <w:r w:rsidDel="00000000" w:rsidR="00000000" w:rsidRPr="00000000">
        <w:rPr>
          <w:rFonts w:ascii="Arial" w:cs="Arial" w:eastAsia="Arial" w:hAnsi="Arial"/>
          <w:sz w:val="24"/>
          <w:szCs w:val="24"/>
          <w:highlight w:val="green"/>
          <w:rtl w:val="0"/>
        </w:rPr>
        <w:t xml:space="preserve">: </w:t>
      </w:r>
      <w:r w:rsidDel="00000000" w:rsidR="00000000" w:rsidRPr="00000000">
        <w:rPr>
          <w:rtl w:val="0"/>
        </w:rPr>
      </w:r>
    </w:p>
    <w:p w:rsidR="00000000" w:rsidDel="00000000" w:rsidP="00000000" w:rsidRDefault="00000000" w:rsidRPr="00000000" w14:paraId="00000009">
      <w:pPr>
        <w:tabs>
          <w:tab w:val="left" w:leader="none" w:pos="284"/>
          <w:tab w:val="left" w:leader="none" w:pos="709"/>
        </w:tabs>
        <w:spacing w:after="120" w:before="120" w:line="240" w:lineRule="auto"/>
        <w:rPr>
          <w:rFonts w:ascii="Arial" w:cs="Arial" w:eastAsia="Arial" w:hAnsi="Arial"/>
          <w:sz w:val="24"/>
          <w:szCs w:val="24"/>
          <w:highlight w:val="green"/>
        </w:rPr>
      </w:pPr>
      <w:r w:rsidDel="00000000" w:rsidR="00000000" w:rsidRPr="00000000">
        <w:rPr>
          <w:rFonts w:ascii="Arial" w:cs="Arial" w:eastAsia="Arial" w:hAnsi="Arial"/>
          <w:sz w:val="24"/>
          <w:szCs w:val="24"/>
          <w:highlight w:val="green"/>
          <w:rtl w:val="0"/>
        </w:rPr>
        <w:t xml:space="preserve">Where there is text in square brackets in a green highlight, Buyers are advised to provide additional information if applicable or follow the guidance contained within each section. </w:t>
      </w:r>
    </w:p>
    <w:p w:rsidR="00000000" w:rsidDel="00000000" w:rsidP="00000000" w:rsidRDefault="00000000" w:rsidRPr="00000000" w14:paraId="0000000A">
      <w:pPr>
        <w:tabs>
          <w:tab w:val="left" w:leader="none" w:pos="284"/>
          <w:tab w:val="left" w:leader="none" w:pos="709"/>
        </w:tabs>
        <w:spacing w:after="120" w:before="120" w:line="240" w:lineRule="auto"/>
        <w:rPr/>
      </w:pPr>
      <w:r w:rsidDel="00000000" w:rsidR="00000000" w:rsidRPr="00000000">
        <w:rPr>
          <w:rFonts w:ascii="Arial" w:cs="Arial" w:eastAsia="Arial" w:hAnsi="Arial"/>
          <w:sz w:val="24"/>
          <w:szCs w:val="24"/>
          <w:highlight w:val="green"/>
          <w:rtl w:val="0"/>
        </w:rPr>
        <w:t xml:space="preserve">Following completion of this schedule, Buyers should remove any guidance notes, highlighting and square brackets</w:t>
      </w:r>
      <w:r w:rsidDel="00000000" w:rsidR="00000000" w:rsidRPr="00000000">
        <w:rPr>
          <w:rFonts w:ascii="Arial" w:cs="Arial" w:eastAsia="Arial" w:hAnsi="Arial"/>
          <w:b w:val="1"/>
          <w:bCs w:val="1"/>
          <w:sz w:val="24"/>
          <w:szCs w:val="24"/>
          <w:highlight w:val="green"/>
          <w:rtl w:val="0"/>
        </w:rPr>
        <w:t xml:space="preserve">] </w:t>
      </w:r>
      <w:r w:rsidDel="00000000" w:rsidR="00000000" w:rsidRPr="00000000">
        <w:rPr>
          <w:rtl w:val="0"/>
        </w:rPr>
      </w:r>
    </w:p>
    <w:p w:rsidR="00000000" w:rsidDel="00000000" w:rsidP="00000000" w:rsidRDefault="00000000" w:rsidRPr="00000000" w14:paraId="0000000B">
      <w:pPr>
        <w:pStyle w:val="Subtitle"/>
        <w:rPr/>
      </w:pPr>
      <w:bookmarkStart w:colFirst="0" w:colLast="0" w:name="_rvgaoq47koe1" w:id="3"/>
      <w:bookmarkEnd w:id="3"/>
      <w:r w:rsidDel="00000000" w:rsidR="00000000" w:rsidRPr="00000000">
        <w:rPr>
          <w:rtl w:val="0"/>
        </w:rPr>
      </w:r>
    </w:p>
    <w:p w:rsidR="00000000" w:rsidDel="00000000" w:rsidP="00000000" w:rsidRDefault="00000000" w:rsidRPr="00000000" w14:paraId="0000000C">
      <w:pPr>
        <w:pStyle w:val="Subtitle"/>
        <w:rPr/>
      </w:pPr>
      <w:bookmarkStart w:colFirst="0" w:colLast="0" w:name="_ervf0zhwiwat" w:id="4"/>
      <w:bookmarkEnd w:id="4"/>
      <w:r w:rsidDel="00000000" w:rsidR="00000000" w:rsidRPr="00000000">
        <w:rPr>
          <w:rtl w:val="0"/>
        </w:rPr>
        <w:t xml:space="preserve">CONTENTS</w:t>
      </w:r>
    </w:p>
    <w:p w:rsidR="00000000" w:rsidDel="00000000" w:rsidP="00000000" w:rsidRDefault="00000000" w:rsidRPr="00000000" w14:paraId="0000000D">
      <w:pPr>
        <w:shd w:fill="ffffff" w:val="clear"/>
        <w:spacing w:after="120" w:before="120" w:line="240" w:lineRule="auto"/>
        <w:rPr/>
      </w:pPr>
      <w:r w:rsidDel="00000000" w:rsidR="00000000" w:rsidRPr="00000000">
        <w:rPr>
          <w:rtl w:val="0"/>
        </w:rPr>
      </w:r>
    </w:p>
    <w:sdt>
      <w:sdtPr>
        <w:id w:val="-1344884292"/>
        <w:docPartObj>
          <w:docPartGallery w:val="Table of Contents"/>
          <w:docPartUnique w:val="1"/>
        </w:docPartObj>
      </w:sdtPr>
      <w:sdtContent>
        <w:p w:rsidR="00000000" w:rsidDel="00000000" w:rsidP="00000000" w:rsidRDefault="00000000" w:rsidRPr="00000000" w14:paraId="0000000E">
          <w:pPr>
            <w:widowControl w:val="0"/>
            <w:tabs>
              <w:tab w:val="right" w:leader="none" w:pos="12000"/>
            </w:tabs>
            <w:spacing w:after="0" w:before="60" w:line="240" w:lineRule="auto"/>
            <w:ind w:left="360" w:right="0" w:firstLine="0"/>
            <w:rPr/>
          </w:pPr>
          <w:r w:rsidDel="00000000" w:rsidR="00000000" w:rsidRPr="00000000">
            <w:fldChar w:fldCharType="begin"/>
            <w:instrText xml:space="preserve"> TOC \h \u \z \t "Heading 1,1,Heading 2,2,Heading 3,3,Heading 4,4,Heading 5,5,Heading 6,6,"</w:instrText>
            <w:fldChar w:fldCharType="separate"/>
          </w:r>
          <w:hyperlink w:anchor="_r9k8jude4sv1">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1. Introduction</w:t>
              <w:tab/>
              <w:t xml:space="preserve">2</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2. Mandatory Social Value</w:t>
              <w:tab/>
              <w:t xml:space="preserve">2</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3. The Lots</w:t>
              <w:tab/>
              <w:t xml:space="preserve">3</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4. Mandatory Service Requirements: All Lots</w:t>
              <w:tab/>
              <w:t xml:space="preserve">3</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5. General Service Requirements</w:t>
              <w:tab/>
              <w:t xml:space="preserve">4</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1. Lot 1 - Total Estate Management</w:t>
              <w:tab/>
              <w:t xml:space="preserve">5</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2. Lot 2 - Estate (Property) Management</w:t>
              <w:tab/>
              <w:t xml:space="preserve">6</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3. Lot 3 - Agency &amp; Lease Management</w:t>
              <w:tab/>
              <w:t xml:space="preserve">7</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4. Lot 4 – Surveying and Strategic Advice</w:t>
              <w:tab/>
              <w:t xml:space="preserve">8</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5. Lot 5 - Valuation and Compulsory Purchase Orders</w:t>
              <w:tab/>
              <w:t xml:space="preserve">9</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6. Lot 6 - Business Rating Services</w:t>
              <w:tab/>
              <w:t xml:space="preserve">10</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7. Lot 7 – Workplace Services Performance Partner</w:t>
              <w:tab/>
              <w:t xml:space="preserve">11</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after="0" w:before="60" w:line="240" w:lineRule="auto"/>
            <w:ind w:left="360" w:right="0" w:firstLine="0"/>
            <w:rPr/>
          </w:pPr>
          <w:hyperlink w:anchor="_wkuznnxufn3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8. Lot 8A - PFI Technical and Strategic Advice Services</w:t>
              <w:tab/>
              <w:t xml:space="preserve">13</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after="0" w:before="60" w:line="240" w:lineRule="auto"/>
            <w:ind w:left="360" w:right="0" w:firstLine="0"/>
            <w:rPr/>
          </w:pPr>
          <w:hyperlink w:anchor="_99ll8rbtrwwo">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9. Lot 8B - PFI Surveying Services</w:t>
              <w:tab/>
              <w:t xml:space="preserve">15</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after="0" w:before="60" w:line="240" w:lineRule="auto"/>
            <w:ind w:left="360" w:right="0" w:firstLine="0"/>
            <w:rPr/>
          </w:pPr>
          <w:hyperlink w:anchor="_op8m0gkqaehh">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10. Lot 8C - PFI Fire Safety and Audit</w:t>
              <w:tab/>
              <w:t xml:space="preserve">17</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after="0" w:before="60" w:line="240" w:lineRule="auto"/>
            <w:ind w:left="360" w:right="0" w:firstLine="0"/>
            <w:rPr/>
          </w:pPr>
          <w:hyperlink w:anchor="_e7ji8iuhptny">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11. Lot 8D - PFI Specialist Commercial and Financial Advice</w:t>
              <w:tab/>
              <w:t xml:space="preserve">19</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after="0" w:before="60" w:line="240" w:lineRule="auto"/>
            <w:rPr/>
          </w:pPr>
          <w:hyperlink w:anchor="_rzb6iybxm3mx">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APPENDIX A - xxxxxx</w:t>
              <w:tab/>
              <w:t xml:space="preserve">20</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after="0" w:before="60" w:line="240" w:lineRule="auto"/>
            <w:rPr/>
          </w:pPr>
          <w:hyperlink w:anchor="_oqs9rfhhlkhz">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APPENDIX B - xxxxxxx</w:t>
              <w:tab/>
              <w:t xml:space="preserve">21</w:t>
            </w:r>
          </w:hyperlink>
          <w:r w:rsidDel="00000000" w:rsidR="00000000" w:rsidRPr="00000000">
            <w:rPr>
              <w:rtl w:val="0"/>
            </w:rPr>
          </w:r>
        </w:p>
        <w:p w:rsidR="00000000" w:rsidDel="00000000" w:rsidP="00000000" w:rsidRDefault="00000000" w:rsidRPr="00000000" w14:paraId="00000020">
          <w:pPr>
            <w:shd w:fill="ffffff" w:val="clear"/>
            <w:spacing w:line="240" w:lineRule="auto"/>
            <w:rPr>
              <w:rFonts w:ascii="Arial" w:cs="Arial" w:eastAsia="Arial" w:hAnsi="Arial"/>
              <w:sz w:val="24"/>
              <w:szCs w:val="24"/>
              <w:highlight w:val="green"/>
            </w:rPr>
          </w:pPr>
          <w:r w:rsidDel="00000000" w:rsidR="00000000" w:rsidRPr="00000000">
            <w:rPr>
              <w:rFonts w:ascii="Arial" w:cs="Arial" w:eastAsia="Arial" w:hAnsi="Arial"/>
              <w:sz w:val="24"/>
              <w:szCs w:val="24"/>
              <w:highlight w:val="green"/>
              <w:rtl w:val="0"/>
            </w:rPr>
            <w:t xml:space="preserve">[The Buyer is to list additional appendices here and add the documentation and/or details within the appendices section. If no further appendices are required by the Buyer, please consider either replacing the text with NOT USED or amend accordingly]</w:t>
          </w:r>
          <w:r w:rsidDel="00000000" w:rsidR="00000000" w:rsidRPr="00000000">
            <w:fldChar w:fldCharType="end"/>
          </w:r>
        </w:p>
      </w:sdtContent>
    </w:sdt>
    <w:p w:rsidR="00000000" w:rsidDel="00000000" w:rsidP="00000000" w:rsidRDefault="00000000" w:rsidRPr="00000000" w14:paraId="00000021">
      <w:pPr>
        <w:spacing w:after="0" w:before="0" w:line="240" w:lineRule="auto"/>
        <w:rPr>
          <w:rFonts w:ascii="Arial" w:cs="Arial" w:eastAsia="Arial" w:hAnsi="Arial"/>
          <w:b w:val="1"/>
          <w:bCs w:val="1"/>
          <w:sz w:val="26"/>
          <w:szCs w:val="26"/>
          <w:u w:val="single"/>
        </w:rPr>
      </w:pPr>
      <w:r w:rsidDel="00000000" w:rsidR="00000000" w:rsidRPr="00000000">
        <w:rPr>
          <w:rtl w:val="0"/>
        </w:rPr>
      </w:r>
    </w:p>
    <w:p w:rsidR="00000000" w:rsidDel="00000000" w:rsidP="00000000" w:rsidRDefault="00000000" w:rsidRPr="00000000" w14:paraId="00000022">
      <w:pPr>
        <w:pStyle w:val="Heading2"/>
        <w:numPr>
          <w:ilvl w:val="0"/>
          <w:numId w:val="3"/>
        </w:numPr>
        <w:tabs>
          <w:tab w:val="left" w:leader="none" w:pos="1069"/>
        </w:tabs>
        <w:ind w:left="360" w:right="0" w:hanging="360"/>
        <w:rPr/>
      </w:pPr>
      <w:bookmarkStart w:colFirst="0" w:colLast="0" w:name="_r9k8jude4sv1" w:id="5"/>
      <w:bookmarkEnd w:id="5"/>
      <w:r w:rsidDel="00000000" w:rsidR="00000000" w:rsidRPr="00000000">
        <w:rPr>
          <w:sz w:val="26"/>
          <w:szCs w:val="26"/>
          <w:rtl w:val="0"/>
        </w:rPr>
        <w:t xml:space="preserve">Introduction</w:t>
      </w:r>
    </w:p>
    <w:p w:rsidR="00000000" w:rsidDel="00000000" w:rsidP="00000000" w:rsidRDefault="00000000" w:rsidRPr="00000000" w14:paraId="00000023">
      <w:pPr>
        <w:numPr>
          <w:ilvl w:val="1"/>
          <w:numId w:val="2"/>
        </w:numPr>
        <w:shd w:fill="ffffff" w:val="clear"/>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This Schedule sets out what we and our Buyers want.</w:t>
      </w:r>
    </w:p>
    <w:p w:rsidR="00000000" w:rsidDel="00000000" w:rsidP="00000000" w:rsidRDefault="00000000" w:rsidRPr="00000000" w14:paraId="00000024">
      <w:pPr>
        <w:shd w:fill="ffffff" w:val="clear"/>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numPr>
          <w:ilvl w:val="1"/>
          <w:numId w:val="2"/>
        </w:numPr>
        <w:shd w:fill="ffffff" w:val="clear"/>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Supplier must only provide the Deliverables for the Lot that they have been appointed to.</w:t>
      </w:r>
    </w:p>
    <w:p w:rsidR="00000000" w:rsidDel="00000000" w:rsidP="00000000" w:rsidRDefault="00000000" w:rsidRPr="00000000" w14:paraId="00000026">
      <w:pPr>
        <w:shd w:fill="ffffff" w:val="clear"/>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numPr>
          <w:ilvl w:val="1"/>
          <w:numId w:val="2"/>
        </w:numPr>
        <w:shd w:fill="ffffff" w:val="clear"/>
        <w:spacing w:after="0" w:before="0" w:line="240" w:lineRule="auto"/>
        <w:ind w:left="850" w:right="0" w:hanging="566"/>
        <w:jc w:val="both"/>
        <w:rPr/>
      </w:pPr>
      <w:r w:rsidDel="00000000" w:rsidR="00000000" w:rsidRPr="00000000">
        <w:rPr>
          <w:rFonts w:ascii="Arial" w:cs="Arial" w:eastAsia="Arial" w:hAnsi="Arial"/>
          <w:sz w:val="20"/>
          <w:szCs w:val="20"/>
          <w:rtl w:val="0"/>
        </w:rPr>
        <w:t xml:space="preserve">For all Lots and/or Deliverables, the Supplier must help Buyers comply with any specific applicable Standards of the Buyer.</w:t>
      </w:r>
    </w:p>
    <w:p w:rsidR="00000000" w:rsidDel="00000000" w:rsidP="00000000" w:rsidRDefault="00000000" w:rsidRPr="00000000" w14:paraId="00000028">
      <w:pPr>
        <w:shd w:fill="ffffff" w:val="clear"/>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numPr>
          <w:ilvl w:val="1"/>
          <w:numId w:val="2"/>
        </w:numPr>
        <w:shd w:fill="ffffff" w:val="clear"/>
        <w:tabs>
          <w:tab w:val="left" w:leader="none" w:pos="1076"/>
        </w:tabs>
        <w:ind w:left="850" w:right="0" w:hanging="566"/>
        <w:jc w:val="both"/>
        <w:rPr/>
      </w:pPr>
      <w:r w:rsidDel="00000000" w:rsidR="00000000" w:rsidRPr="00000000">
        <w:rPr>
          <w:rFonts w:ascii="Arial" w:cs="Arial" w:eastAsia="Arial" w:hAnsi="Arial"/>
          <w:sz w:val="20"/>
          <w:szCs w:val="20"/>
          <w:rtl w:val="0"/>
        </w:rPr>
        <w:t xml:space="preserve">The Deliverables and any Standards set out below may be refined (to the extent permitted and set out in the Order Form) by a Buyer during a Competitive Selection Process to reflect its Deliverables requirements for entering a particular Call-Off Contract.</w:t>
      </w:r>
    </w:p>
    <w:p w:rsidR="00000000" w:rsidDel="00000000" w:rsidP="00000000" w:rsidRDefault="00000000" w:rsidRPr="00000000" w14:paraId="0000002A">
      <w:pPr>
        <w:shd w:fill="ffffff" w:val="clear"/>
        <w:tabs>
          <w:tab w:val="left" w:leader="none" w:pos="1076"/>
        </w:tabs>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B">
      <w:pPr>
        <w:pStyle w:val="Heading2"/>
        <w:numPr>
          <w:ilvl w:val="0"/>
          <w:numId w:val="2"/>
        </w:numPr>
        <w:tabs>
          <w:tab w:val="left" w:leader="none" w:pos="420"/>
        </w:tabs>
        <w:ind w:left="850" w:right="0" w:hanging="566"/>
        <w:rPr/>
      </w:pPr>
      <w:r w:rsidDel="00000000" w:rsidR="00000000" w:rsidRPr="00000000">
        <w:rPr>
          <w:sz w:val="26"/>
          <w:szCs w:val="26"/>
          <w:rtl w:val="0"/>
        </w:rPr>
        <w:t xml:space="preserve">Mandatory Social Value  </w:t>
      </w:r>
    </w:p>
    <w:p w:rsidR="00000000" w:rsidDel="00000000" w:rsidP="00000000" w:rsidRDefault="00000000" w:rsidRPr="00000000" w14:paraId="0000002C">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This framework contract requires the Supplier to embed social value into all Call-Off Contracts, in line with the Social Value Act 2012 or subsequent government initiatives to enable the effective implementation of the Act.</w:t>
      </w:r>
    </w:p>
    <w:p w:rsidR="00000000" w:rsidDel="00000000" w:rsidP="00000000" w:rsidRDefault="00000000" w:rsidRPr="00000000" w14:paraId="0000002D">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E">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As a condition of participating on this Framework Contract, CCS requires Suppliers to demonstrate they are committed to report on the impact of social value throughout the lifetime of the Framework Contract to CCS, every 12 months from the Framework Start Date</w:t>
      </w:r>
    </w:p>
    <w:p w:rsidR="00000000" w:rsidDel="00000000" w:rsidP="00000000" w:rsidRDefault="00000000" w:rsidRPr="00000000" w14:paraId="0000002F">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0">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Suppliers must provide evidence of their commitment to social value and demonstrate an ability and willingness to work with Buyers to identify and help further their social value requirements in all Call-Off Contracts. Suppliers must agree to provide or deliver reasonable and proportionate social value benefits within all Call-Off Contracts. Suppliers should consider the following policy themes, as a minimum:</w:t>
      </w:r>
    </w:p>
    <w:p w:rsidR="00000000" w:rsidDel="00000000" w:rsidP="00000000" w:rsidRDefault="00000000" w:rsidRPr="00000000" w14:paraId="00000031">
      <w:pPr>
        <w:shd w:fill="ffffff" w:val="clear"/>
        <w:tabs>
          <w:tab w:val="left" w:leader="none" w:pos="1076"/>
        </w:tabs>
        <w:spacing w:after="0" w:before="0" w:line="240" w:lineRule="auto"/>
        <w:ind w:left="792" w:right="0" w:firstLine="0"/>
        <w:jc w:val="both"/>
        <w:rPr/>
      </w:pPr>
      <w:r w:rsidDel="00000000" w:rsidR="00000000" w:rsidRPr="00000000">
        <w:rPr>
          <w:rtl w:val="0"/>
        </w:rPr>
      </w:r>
    </w:p>
    <w:p w:rsidR="00000000" w:rsidDel="00000000" w:rsidP="00000000" w:rsidRDefault="00000000" w:rsidRPr="00000000" w14:paraId="00000032">
      <w:pPr>
        <w:shd w:fill="ffffff" w:val="clear"/>
        <w:spacing w:after="0" w:before="0" w:line="240" w:lineRule="auto"/>
        <w:ind w:left="0" w:right="0" w:firstLine="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3.3.1.</w:t>
        <w:tab/>
        <w:t xml:space="preserve">Tackling economic inequality;</w:t>
      </w:r>
    </w:p>
    <w:p w:rsidR="00000000" w:rsidDel="00000000" w:rsidP="00000000" w:rsidRDefault="00000000" w:rsidRPr="00000000" w14:paraId="00000033">
      <w:pPr>
        <w:shd w:fill="ffffff" w:val="clear"/>
        <w:spacing w:after="0" w:before="0" w:line="240" w:lineRule="auto"/>
        <w:ind w:left="0" w:right="0" w:firstLine="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3.3.2.</w:t>
        <w:tab/>
        <w:t xml:space="preserve">Fighting climate change;</w:t>
      </w:r>
    </w:p>
    <w:p w:rsidR="00000000" w:rsidDel="00000000" w:rsidP="00000000" w:rsidRDefault="00000000" w:rsidRPr="00000000" w14:paraId="00000034">
      <w:pPr>
        <w:shd w:fill="ffffff" w:val="clear"/>
        <w:spacing w:after="0" w:before="0" w:line="240" w:lineRule="auto"/>
        <w:ind w:left="0" w:right="0" w:firstLine="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3.3.3.</w:t>
        <w:tab/>
        <w:t xml:space="preserve">Equal opportunity; and</w:t>
      </w:r>
    </w:p>
    <w:p w:rsidR="00000000" w:rsidDel="00000000" w:rsidP="00000000" w:rsidRDefault="00000000" w:rsidRPr="00000000" w14:paraId="00000035">
      <w:pPr>
        <w:shd w:fill="ffffff" w:val="clear"/>
        <w:spacing w:after="0" w:before="0" w:line="240" w:lineRule="auto"/>
        <w:ind w:left="0" w:right="0" w:firstLine="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3.3.4.</w:t>
        <w:tab/>
        <w:t xml:space="preserve">Wellbeing</w:t>
      </w:r>
    </w:p>
    <w:p w:rsidR="00000000" w:rsidDel="00000000" w:rsidP="00000000" w:rsidRDefault="00000000" w:rsidRPr="00000000" w14:paraId="00000036">
      <w:pPr>
        <w:shd w:fill="ffffff" w:val="clear"/>
        <w:spacing w:after="0" w:before="0" w:line="240" w:lineRule="auto"/>
        <w:ind w:left="0" w:right="0" w:firstLine="72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7">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Suppliers are expected to act with these priorities in mind, and CCS may discuss these priorities as part of Framework management meetings.</w:t>
      </w:r>
    </w:p>
    <w:p w:rsidR="00000000" w:rsidDel="00000000" w:rsidP="00000000" w:rsidRDefault="00000000" w:rsidRPr="00000000" w14:paraId="00000038">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9">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Buyer’s requirements will be set out in the Call-Off Procedure. The Supplier shall comply with and/or identify proposed social value initiatives, proportionate and relevant to each Call-Off Contract.</w:t>
      </w:r>
    </w:p>
    <w:p w:rsidR="00000000" w:rsidDel="00000000" w:rsidP="00000000" w:rsidRDefault="00000000" w:rsidRPr="00000000" w14:paraId="0000003A">
      <w:pPr>
        <w:spacing w:after="200" w:before="200" w:line="240" w:lineRule="auto"/>
        <w:ind w:left="720" w:right="0" w:firstLine="0"/>
        <w:rPr/>
      </w:pPr>
      <w:r w:rsidDel="00000000" w:rsidR="00000000" w:rsidRPr="00000000">
        <w:rPr>
          <w:rFonts w:ascii="Arial" w:cs="Arial" w:eastAsia="Arial" w:hAnsi="Arial"/>
          <w:sz w:val="20"/>
          <w:szCs w:val="20"/>
          <w:highlight w:val="green"/>
          <w:rtl w:val="0"/>
        </w:rPr>
        <w:t xml:space="preserve">[The Buyer is to define such requirements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 If no further details are required by the Buyer, please consider either replacing the text with NOT USED or amend accordingly]</w:t>
      </w:r>
      <w:r w:rsidDel="00000000" w:rsidR="00000000" w:rsidRPr="00000000">
        <w:rPr>
          <w:rtl w:val="0"/>
        </w:rPr>
      </w:r>
    </w:p>
    <w:p w:rsidR="00000000" w:rsidDel="00000000" w:rsidP="00000000" w:rsidRDefault="00000000" w:rsidRPr="00000000" w14:paraId="0000003B">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C">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Supplier shall deliver measurable benefits and impacts in respect of the social value priorities, when identified in the Call-Off Contract.</w:t>
      </w:r>
    </w:p>
    <w:p w:rsidR="00000000" w:rsidDel="00000000" w:rsidP="00000000" w:rsidRDefault="00000000" w:rsidRPr="00000000" w14:paraId="0000003D">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E">
      <w:pPr>
        <w:numPr>
          <w:ilvl w:val="1"/>
          <w:numId w:val="2"/>
        </w:numPr>
        <w:shd w:fill="ffffff" w:val="clear"/>
        <w:tabs>
          <w:tab w:val="left" w:leader="none" w:pos="1076"/>
        </w:tabs>
        <w:ind w:left="850" w:right="0" w:hanging="566"/>
        <w:jc w:val="both"/>
        <w:rPr/>
      </w:pPr>
      <w:r w:rsidDel="00000000" w:rsidR="00000000" w:rsidRPr="00000000">
        <w:rPr>
          <w:rFonts w:ascii="Arial" w:cs="Arial" w:eastAsia="Arial" w:hAnsi="Arial"/>
          <w:sz w:val="20"/>
          <w:szCs w:val="20"/>
          <w:rtl w:val="0"/>
        </w:rPr>
        <w:t xml:space="preserve">The Supplier shall record and report performance against the social value requirements, when detailed in the Call-Off Contract.</w:t>
      </w:r>
    </w:p>
    <w:p w:rsidR="00000000" w:rsidDel="00000000" w:rsidP="00000000" w:rsidRDefault="00000000" w:rsidRPr="00000000" w14:paraId="0000003F">
      <w:pPr>
        <w:pStyle w:val="Heading2"/>
        <w:numPr>
          <w:ilvl w:val="0"/>
          <w:numId w:val="2"/>
        </w:numPr>
        <w:tabs>
          <w:tab w:val="left" w:leader="none" w:pos="420"/>
        </w:tabs>
        <w:ind w:left="850" w:right="0" w:hanging="566"/>
        <w:rPr/>
      </w:pPr>
      <w:r w:rsidDel="00000000" w:rsidR="00000000" w:rsidRPr="00000000">
        <w:rPr>
          <w:sz w:val="26"/>
          <w:szCs w:val="26"/>
          <w:rtl w:val="0"/>
        </w:rPr>
        <w:t xml:space="preserve">The Lots</w:t>
      </w:r>
    </w:p>
    <w:p w:rsidR="00000000" w:rsidDel="00000000" w:rsidP="00000000" w:rsidRDefault="00000000" w:rsidRPr="00000000" w14:paraId="00000040">
      <w:pPr>
        <w:numPr>
          <w:ilvl w:val="1"/>
          <w:numId w:val="2"/>
        </w:numPr>
        <w:shd w:fill="ffffff" w:val="clear"/>
        <w:tabs>
          <w:tab w:val="left" w:leader="none" w:pos="1076"/>
        </w:tabs>
        <w:ind w:left="850" w:right="0" w:hanging="566"/>
        <w:jc w:val="both"/>
        <w:rPr/>
      </w:pPr>
      <w:r w:rsidDel="00000000" w:rsidR="00000000" w:rsidRPr="00000000">
        <w:rPr>
          <w:rFonts w:ascii="Arial" w:cs="Arial" w:eastAsia="Arial" w:hAnsi="Arial"/>
          <w:sz w:val="20"/>
          <w:szCs w:val="20"/>
          <w:rtl w:val="0"/>
        </w:rPr>
        <w:t xml:space="preserve">The Services are divided into 11 Lots:</w:t>
      </w:r>
    </w:p>
    <w:p w:rsidR="00000000" w:rsidDel="00000000" w:rsidP="00000000" w:rsidRDefault="00000000" w:rsidRPr="00000000" w14:paraId="00000041">
      <w:pPr>
        <w:numPr>
          <w:ilvl w:val="0"/>
          <w:numId w:val="4"/>
        </w:numPr>
        <w:shd w:fill="ffffff" w:val="clear"/>
        <w:spacing w:after="0" w:before="0" w:line="240" w:lineRule="auto"/>
        <w:ind w:left="1080" w:right="0" w:hanging="360"/>
        <w:jc w:val="both"/>
        <w:rPr>
          <w:color w:val="222222"/>
          <w:sz w:val="20"/>
          <w:szCs w:val="20"/>
        </w:rPr>
      </w:pPr>
      <w:r w:rsidDel="00000000" w:rsidR="00000000" w:rsidRPr="00000000">
        <w:rPr>
          <w:rFonts w:ascii="Arial" w:cs="Arial" w:eastAsia="Arial" w:hAnsi="Arial"/>
          <w:color w:val="222222"/>
          <w:sz w:val="20"/>
          <w:szCs w:val="20"/>
          <w:rtl w:val="0"/>
        </w:rPr>
        <w:t xml:space="preserve">Total Estate Management</w:t>
      </w:r>
    </w:p>
    <w:p w:rsidR="00000000" w:rsidDel="00000000" w:rsidP="00000000" w:rsidRDefault="00000000" w:rsidRPr="00000000" w14:paraId="00000042">
      <w:pPr>
        <w:numPr>
          <w:ilvl w:val="0"/>
          <w:numId w:val="4"/>
        </w:numPr>
        <w:shd w:fill="ffffff" w:val="clear"/>
        <w:spacing w:after="0" w:before="0" w:line="240" w:lineRule="auto"/>
        <w:ind w:left="1080" w:right="0" w:hanging="360"/>
        <w:jc w:val="both"/>
        <w:rPr>
          <w:color w:val="222222"/>
          <w:sz w:val="20"/>
          <w:szCs w:val="20"/>
        </w:rPr>
      </w:pPr>
      <w:r w:rsidDel="00000000" w:rsidR="00000000" w:rsidRPr="00000000">
        <w:rPr>
          <w:rFonts w:ascii="Arial" w:cs="Arial" w:eastAsia="Arial" w:hAnsi="Arial"/>
          <w:color w:val="222222"/>
          <w:sz w:val="20"/>
          <w:szCs w:val="20"/>
          <w:rtl w:val="0"/>
        </w:rPr>
        <w:t xml:space="preserve">Estate (Property) Management</w:t>
      </w:r>
    </w:p>
    <w:p w:rsidR="00000000" w:rsidDel="00000000" w:rsidP="00000000" w:rsidRDefault="00000000" w:rsidRPr="00000000" w14:paraId="00000043">
      <w:pPr>
        <w:numPr>
          <w:ilvl w:val="0"/>
          <w:numId w:val="4"/>
        </w:numPr>
        <w:shd w:fill="ffffff" w:val="clear"/>
        <w:spacing w:after="0" w:before="0" w:line="240" w:lineRule="auto"/>
        <w:ind w:left="1080" w:right="0" w:hanging="360"/>
        <w:jc w:val="both"/>
        <w:rPr>
          <w:color w:val="222222"/>
          <w:sz w:val="20"/>
          <w:szCs w:val="20"/>
        </w:rPr>
      </w:pPr>
      <w:r w:rsidDel="00000000" w:rsidR="00000000" w:rsidRPr="00000000">
        <w:rPr>
          <w:rFonts w:ascii="Arial" w:cs="Arial" w:eastAsia="Arial" w:hAnsi="Arial"/>
          <w:color w:val="222222"/>
          <w:sz w:val="20"/>
          <w:szCs w:val="20"/>
          <w:rtl w:val="0"/>
        </w:rPr>
        <w:t xml:space="preserve">Agency and Lease Management</w:t>
      </w:r>
    </w:p>
    <w:p w:rsidR="00000000" w:rsidDel="00000000" w:rsidP="00000000" w:rsidRDefault="00000000" w:rsidRPr="00000000" w14:paraId="00000044">
      <w:pPr>
        <w:numPr>
          <w:ilvl w:val="0"/>
          <w:numId w:val="4"/>
        </w:numPr>
        <w:shd w:fill="ffffff" w:val="clear"/>
        <w:spacing w:after="0" w:before="0" w:line="240" w:lineRule="auto"/>
        <w:ind w:left="1080" w:right="0" w:hanging="360"/>
        <w:jc w:val="both"/>
        <w:rPr>
          <w:color w:val="222222"/>
          <w:sz w:val="20"/>
          <w:szCs w:val="20"/>
        </w:rPr>
      </w:pPr>
      <w:r w:rsidDel="00000000" w:rsidR="00000000" w:rsidRPr="00000000">
        <w:rPr>
          <w:rFonts w:ascii="Arial" w:cs="Arial" w:eastAsia="Arial" w:hAnsi="Arial"/>
          <w:color w:val="222222"/>
          <w:sz w:val="20"/>
          <w:szCs w:val="20"/>
          <w:rtl w:val="0"/>
        </w:rPr>
        <w:t xml:space="preserve">Surveying and Strategic Advice</w:t>
      </w:r>
    </w:p>
    <w:p w:rsidR="00000000" w:rsidDel="00000000" w:rsidP="00000000" w:rsidRDefault="00000000" w:rsidRPr="00000000" w14:paraId="00000045">
      <w:pPr>
        <w:numPr>
          <w:ilvl w:val="0"/>
          <w:numId w:val="4"/>
        </w:numPr>
        <w:shd w:fill="ffffff" w:val="clear"/>
        <w:spacing w:after="0" w:before="0" w:line="240" w:lineRule="auto"/>
        <w:ind w:left="1080" w:right="0" w:hanging="360"/>
        <w:jc w:val="both"/>
        <w:rPr>
          <w:sz w:val="20"/>
          <w:szCs w:val="20"/>
        </w:rPr>
      </w:pPr>
      <w:r w:rsidDel="00000000" w:rsidR="00000000" w:rsidRPr="00000000">
        <w:rPr>
          <w:rFonts w:ascii="Arial" w:cs="Arial" w:eastAsia="Arial" w:hAnsi="Arial"/>
          <w:sz w:val="20"/>
          <w:szCs w:val="20"/>
          <w:rtl w:val="0"/>
        </w:rPr>
        <w:t xml:space="preserve">Valuation and Compulsory Purchase Orders</w:t>
      </w:r>
    </w:p>
    <w:p w:rsidR="00000000" w:rsidDel="00000000" w:rsidP="00000000" w:rsidRDefault="00000000" w:rsidRPr="00000000" w14:paraId="00000046">
      <w:pPr>
        <w:numPr>
          <w:ilvl w:val="0"/>
          <w:numId w:val="4"/>
        </w:numPr>
        <w:shd w:fill="ffffff" w:val="clear"/>
        <w:spacing w:after="0" w:before="0" w:line="240" w:lineRule="auto"/>
        <w:ind w:left="1080" w:right="0" w:hanging="360"/>
        <w:jc w:val="both"/>
        <w:rPr>
          <w:sz w:val="20"/>
          <w:szCs w:val="20"/>
        </w:rPr>
      </w:pPr>
      <w:r w:rsidDel="00000000" w:rsidR="00000000" w:rsidRPr="00000000">
        <w:rPr>
          <w:rFonts w:ascii="Arial" w:cs="Arial" w:eastAsia="Arial" w:hAnsi="Arial"/>
          <w:sz w:val="20"/>
          <w:szCs w:val="20"/>
          <w:rtl w:val="0"/>
        </w:rPr>
        <w:t xml:space="preserve">Business Rating Services</w:t>
      </w:r>
    </w:p>
    <w:p w:rsidR="00000000" w:rsidDel="00000000" w:rsidP="00000000" w:rsidRDefault="00000000" w:rsidRPr="00000000" w14:paraId="00000047">
      <w:pPr>
        <w:numPr>
          <w:ilvl w:val="0"/>
          <w:numId w:val="4"/>
        </w:numPr>
        <w:shd w:fill="ffffff" w:val="clear"/>
        <w:spacing w:after="0" w:before="0" w:line="240" w:lineRule="auto"/>
        <w:ind w:left="1080" w:right="0" w:hanging="360"/>
        <w:jc w:val="both"/>
        <w:rPr>
          <w:sz w:val="20"/>
          <w:szCs w:val="20"/>
        </w:rPr>
      </w:pPr>
      <w:r w:rsidDel="00000000" w:rsidR="00000000" w:rsidRPr="00000000">
        <w:rPr>
          <w:rFonts w:ascii="Arial" w:cs="Arial" w:eastAsia="Arial" w:hAnsi="Arial"/>
          <w:sz w:val="20"/>
          <w:szCs w:val="20"/>
          <w:rtl w:val="0"/>
        </w:rPr>
        <w:t xml:space="preserve">Workplace Services Performance Partner</w:t>
      </w:r>
    </w:p>
    <w:p w:rsidR="00000000" w:rsidDel="00000000" w:rsidP="00000000" w:rsidRDefault="00000000" w:rsidRPr="00000000" w14:paraId="00000048">
      <w:pPr>
        <w:shd w:fill="ffffff" w:val="clear"/>
        <w:spacing w:after="0" w:before="0" w:line="240" w:lineRule="auto"/>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20"/>
          <w:szCs w:val="20"/>
          <w:rtl w:val="0"/>
        </w:rPr>
        <w:t xml:space="preserve">      8A. PFI Technical and Strategic Advice Services  </w:t>
      </w:r>
      <w:r w:rsidDel="00000000" w:rsidR="00000000" w:rsidRPr="00000000">
        <w:rPr>
          <w:rtl w:val="0"/>
        </w:rPr>
      </w:r>
    </w:p>
    <w:p w:rsidR="00000000" w:rsidDel="00000000" w:rsidP="00000000" w:rsidRDefault="00000000" w:rsidRPr="00000000" w14:paraId="00000049">
      <w:pPr>
        <w:shd w:fill="ffffff" w:val="clea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8B. PFI Surveying Services</w:t>
      </w:r>
    </w:p>
    <w:p w:rsidR="00000000" w:rsidDel="00000000" w:rsidP="00000000" w:rsidRDefault="00000000" w:rsidRPr="00000000" w14:paraId="0000004A">
      <w:pPr>
        <w:shd w:fill="ffffff" w:val="clear"/>
        <w:spacing w:after="0" w:before="0" w:line="240" w:lineRule="auto"/>
        <w:ind w:left="0" w:right="0" w:firstLine="720"/>
        <w:rPr>
          <w:rFonts w:ascii="Arial" w:cs="Arial" w:eastAsia="Arial" w:hAnsi="Arial"/>
          <w:sz w:val="20"/>
          <w:szCs w:val="20"/>
        </w:rPr>
      </w:pPr>
      <w:r w:rsidDel="00000000" w:rsidR="00000000" w:rsidRPr="00000000">
        <w:rPr>
          <w:rFonts w:ascii="Arial" w:cs="Arial" w:eastAsia="Arial" w:hAnsi="Arial"/>
          <w:sz w:val="20"/>
          <w:szCs w:val="20"/>
          <w:rtl w:val="0"/>
        </w:rPr>
        <w:t xml:space="preserve">8C. PFI Fire Safety and Audit</w:t>
      </w:r>
    </w:p>
    <w:p w:rsidR="00000000" w:rsidDel="00000000" w:rsidP="00000000" w:rsidRDefault="00000000" w:rsidRPr="00000000" w14:paraId="0000004B">
      <w:pPr>
        <w:shd w:fill="ffffff" w:val="clear"/>
        <w:spacing w:after="0" w:before="0" w:line="240" w:lineRule="auto"/>
        <w:ind w:left="0" w:right="0" w:firstLine="720"/>
        <w:rPr>
          <w:rFonts w:ascii="Arial" w:cs="Arial" w:eastAsia="Arial" w:hAnsi="Arial"/>
          <w:sz w:val="20"/>
          <w:szCs w:val="20"/>
        </w:rPr>
      </w:pPr>
      <w:r w:rsidDel="00000000" w:rsidR="00000000" w:rsidRPr="00000000">
        <w:rPr>
          <w:rFonts w:ascii="Arial" w:cs="Arial" w:eastAsia="Arial" w:hAnsi="Arial"/>
          <w:sz w:val="20"/>
          <w:szCs w:val="20"/>
          <w:rtl w:val="0"/>
        </w:rPr>
        <w:t xml:space="preserve">8D. PFI Specialist Commercial and Financial Advice</w:t>
      </w:r>
    </w:p>
    <w:p w:rsidR="00000000" w:rsidDel="00000000" w:rsidP="00000000" w:rsidRDefault="00000000" w:rsidRPr="00000000" w14:paraId="0000004C">
      <w:pPr>
        <w:shd w:fill="ffffff" w:val="clear"/>
        <w:spacing w:after="0" w:before="0" w:line="240" w:lineRule="auto"/>
        <w:jc w:val="both"/>
        <w:rPr>
          <w:color w:val="ff0000"/>
        </w:rPr>
      </w:pPr>
      <w:r w:rsidDel="00000000" w:rsidR="00000000" w:rsidRPr="00000000">
        <w:rPr>
          <w:rtl w:val="0"/>
        </w:rPr>
      </w:r>
    </w:p>
    <w:p w:rsidR="00000000" w:rsidDel="00000000" w:rsidP="00000000" w:rsidRDefault="00000000" w:rsidRPr="00000000" w14:paraId="0000004D">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Services within each Lot are contained below, this Specification is not an exhaustive list. Buyers may require other similar Services, which will be detailed in the Call-Off Procedure. The scope of the Services for each Lot shall remain as described in this Specification and the contract notice placed in the Find a Tender Service (FTS).</w:t>
      </w:r>
    </w:p>
    <w:p w:rsidR="00000000" w:rsidDel="00000000" w:rsidP="00000000" w:rsidRDefault="00000000" w:rsidRPr="00000000" w14:paraId="0000004E">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F">
      <w:pPr>
        <w:numPr>
          <w:ilvl w:val="1"/>
          <w:numId w:val="2"/>
        </w:numPr>
        <w:shd w:fill="ffffff" w:val="clear"/>
        <w:tabs>
          <w:tab w:val="left" w:leader="none" w:pos="1076"/>
        </w:tabs>
        <w:ind w:left="850" w:right="0" w:hanging="566"/>
        <w:jc w:val="both"/>
        <w:rPr/>
      </w:pPr>
      <w:r w:rsidDel="00000000" w:rsidR="00000000" w:rsidRPr="00000000">
        <w:rPr>
          <w:rFonts w:ascii="Arial" w:cs="Arial" w:eastAsia="Arial" w:hAnsi="Arial"/>
          <w:sz w:val="20"/>
          <w:szCs w:val="20"/>
          <w:rtl w:val="0"/>
        </w:rPr>
        <w:t xml:space="preserve">Any service Standards and Key Performance Indicators (KPIs) that apply to the Services for each Lot are not set out in this Specification as it is the Buyer’s responsibility to set these as appropriate in the Call-Off Procedure.</w:t>
      </w:r>
    </w:p>
    <w:p w:rsidR="00000000" w:rsidDel="00000000" w:rsidP="00000000" w:rsidRDefault="00000000" w:rsidRPr="00000000" w14:paraId="00000050">
      <w:pPr>
        <w:pStyle w:val="Heading2"/>
        <w:numPr>
          <w:ilvl w:val="0"/>
          <w:numId w:val="2"/>
        </w:numPr>
        <w:tabs>
          <w:tab w:val="left" w:leader="none" w:pos="420"/>
        </w:tabs>
        <w:ind w:left="850" w:right="0" w:hanging="566"/>
        <w:rPr/>
      </w:pPr>
      <w:r w:rsidDel="00000000" w:rsidR="00000000" w:rsidRPr="00000000">
        <w:rPr>
          <w:sz w:val="26"/>
          <w:szCs w:val="26"/>
          <w:rtl w:val="0"/>
        </w:rPr>
        <w:t xml:space="preserve">Mandatory Service Requirements: All Lots</w:t>
      </w:r>
    </w:p>
    <w:p w:rsidR="00000000" w:rsidDel="00000000" w:rsidP="00000000" w:rsidRDefault="00000000" w:rsidRPr="00000000" w14:paraId="00000051">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2">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Supplier must be capable of delivering all the Mandatory Services relevant to their given Lot as set out in the tables below, during the Framework Contract Period and until any Call-Off Contracts established under this Framework Contract expire. </w:t>
      </w:r>
    </w:p>
    <w:p w:rsidR="00000000" w:rsidDel="00000000" w:rsidP="00000000" w:rsidRDefault="00000000" w:rsidRPr="00000000" w14:paraId="00000053">
      <w:pPr>
        <w:shd w:fill="ffffff" w:val="clear"/>
        <w:tabs>
          <w:tab w:val="left" w:leader="none" w:pos="1076"/>
        </w:tabs>
        <w:spacing w:after="0" w:before="0" w:line="240" w:lineRule="auto"/>
        <w:ind w:left="85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4">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Where the Buyer is referenced this shall also be interpreted to include the Buyer’s client.</w:t>
      </w:r>
    </w:p>
    <w:p w:rsidR="00000000" w:rsidDel="00000000" w:rsidP="00000000" w:rsidRDefault="00000000" w:rsidRPr="00000000" w14:paraId="00000055">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6">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Supplier shall provide advice to the Buyer in relation to best practice, and the most efficient and cost effective methods of conducting the disclosure exercise as a whole.</w:t>
      </w:r>
    </w:p>
    <w:p w:rsidR="00000000" w:rsidDel="00000000" w:rsidP="00000000" w:rsidRDefault="00000000" w:rsidRPr="00000000" w14:paraId="00000057">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8">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Supplier shall consider the quality, cost-effectiveness and efficiency of any proposed solution, and shall work to review and improve its systems with regard to these elements on an ongoing basis throughout the duration of the Framework.</w:t>
      </w:r>
    </w:p>
    <w:p w:rsidR="00000000" w:rsidDel="00000000" w:rsidP="00000000" w:rsidRDefault="00000000" w:rsidRPr="00000000" w14:paraId="00000059">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A">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Supplier shall provide professional management, advice, guidance, negotiation and assistance on land, property and estates issues, including but not limited to those Services set out in the Tables below.</w:t>
      </w:r>
    </w:p>
    <w:p w:rsidR="00000000" w:rsidDel="00000000" w:rsidP="00000000" w:rsidRDefault="00000000" w:rsidRPr="00000000" w14:paraId="0000005B">
      <w:pPr>
        <w:spacing w:after="0" w:before="0" w:line="240" w:lineRule="auto"/>
        <w:ind w:left="720" w:right="0" w:firstLine="0"/>
        <w:rPr>
          <w:rFonts w:ascii="Arial" w:cs="Arial" w:eastAsia="Arial" w:hAnsi="Arial"/>
          <w:color w:val="222222"/>
          <w:sz w:val="20"/>
          <w:szCs w:val="20"/>
        </w:rPr>
      </w:pPr>
      <w:r w:rsidDel="00000000" w:rsidR="00000000" w:rsidRPr="00000000">
        <w:rPr>
          <w:rtl w:val="0"/>
        </w:rPr>
      </w:r>
    </w:p>
    <w:p w:rsidR="00000000" w:rsidDel="00000000" w:rsidP="00000000" w:rsidRDefault="00000000" w:rsidRPr="00000000" w14:paraId="0000005C">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Supplier shall meet deadlines agreed with the Buyer at Call-Off and is expected to manage its staff and internal processes to achieve this.</w:t>
      </w:r>
    </w:p>
    <w:p w:rsidR="00000000" w:rsidDel="00000000" w:rsidP="00000000" w:rsidRDefault="00000000" w:rsidRPr="00000000" w14:paraId="0000005D">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E">
      <w:pPr>
        <w:numPr>
          <w:ilvl w:val="1"/>
          <w:numId w:val="2"/>
        </w:numPr>
        <w:shd w:fill="ffffff" w:val="clear"/>
        <w:tabs>
          <w:tab w:val="left" w:leader="none" w:pos="1076"/>
        </w:tabs>
        <w:ind w:left="850" w:right="0" w:hanging="566"/>
        <w:jc w:val="both"/>
        <w:rPr/>
      </w:pPr>
      <w:r w:rsidDel="00000000" w:rsidR="00000000" w:rsidRPr="00000000">
        <w:rPr>
          <w:rFonts w:ascii="Arial" w:cs="Arial" w:eastAsia="Arial" w:hAnsi="Arial"/>
          <w:sz w:val="20"/>
          <w:szCs w:val="20"/>
          <w:rtl w:val="0"/>
        </w:rPr>
        <w:t xml:space="preserve">The Buyer will confirm their required Services during the Call-Off Procedure.</w:t>
      </w:r>
    </w:p>
    <w:p w:rsidR="00000000" w:rsidDel="00000000" w:rsidP="00000000" w:rsidRDefault="00000000" w:rsidRPr="00000000" w14:paraId="0000005F">
      <w:pPr>
        <w:numPr>
          <w:ilvl w:val="1"/>
          <w:numId w:val="2"/>
        </w:numPr>
        <w:shd w:fill="ffffff" w:val="clear"/>
        <w:tabs>
          <w:tab w:val="left" w:leader="none" w:pos="1076"/>
        </w:tabs>
        <w:ind w:left="850" w:right="0" w:hanging="566"/>
        <w:jc w:val="both"/>
        <w:rPr/>
      </w:pPr>
      <w:r w:rsidDel="00000000" w:rsidR="00000000" w:rsidRPr="00000000">
        <w:rPr>
          <w:rFonts w:ascii="Arial" w:cs="Arial" w:eastAsia="Arial" w:hAnsi="Arial"/>
          <w:sz w:val="20"/>
          <w:szCs w:val="20"/>
          <w:rtl w:val="0"/>
        </w:rPr>
        <w:t xml:space="preserve">Suppliers appointed to Lots 1, 2, 3, 4, 5, 6 &amp; 8b shall hold and maintain a Royal Institution of Chartered Surveyors (RICS) regulated status throughout the duration of the Framework and the duration of any applicable Call-ff Contracts.</w:t>
      </w:r>
    </w:p>
    <w:p w:rsidR="00000000" w:rsidDel="00000000" w:rsidP="00000000" w:rsidRDefault="00000000" w:rsidRPr="00000000" w14:paraId="00000060">
      <w:pPr>
        <w:numPr>
          <w:ilvl w:val="1"/>
          <w:numId w:val="2"/>
        </w:numPr>
        <w:shd w:fill="ffffff" w:val="clear"/>
        <w:tabs>
          <w:tab w:val="left" w:leader="none" w:pos="1076"/>
        </w:tabs>
        <w:ind w:left="850" w:right="0" w:hanging="566"/>
        <w:jc w:val="both"/>
        <w:rPr/>
      </w:pPr>
      <w:r w:rsidDel="00000000" w:rsidR="00000000" w:rsidRPr="00000000">
        <w:rPr>
          <w:rFonts w:ascii="Arial" w:cs="Arial" w:eastAsia="Arial" w:hAnsi="Arial"/>
          <w:sz w:val="20"/>
          <w:szCs w:val="20"/>
          <w:rtl w:val="0"/>
        </w:rPr>
        <w:t xml:space="preserve">Suppliers appointed to Lot 8c shall hold and maintain accreditation for at least one of the following; Institute of Fire Engineers (IFE), Institute of Fire Safety Managers (IFSM) or The Society of Fire Protection Engineers (SFPE).</w:t>
      </w:r>
    </w:p>
    <w:p w:rsidR="00000000" w:rsidDel="00000000" w:rsidP="00000000" w:rsidRDefault="00000000" w:rsidRPr="00000000" w14:paraId="00000061">
      <w:pPr>
        <w:pStyle w:val="Heading2"/>
        <w:numPr>
          <w:ilvl w:val="0"/>
          <w:numId w:val="2"/>
        </w:numPr>
        <w:tabs>
          <w:tab w:val="left" w:leader="none" w:pos="420"/>
        </w:tabs>
        <w:ind w:left="850" w:right="0" w:hanging="566"/>
        <w:rPr/>
      </w:pPr>
      <w:r w:rsidDel="00000000" w:rsidR="00000000" w:rsidRPr="00000000">
        <w:rPr>
          <w:sz w:val="26"/>
          <w:szCs w:val="26"/>
          <w:rtl w:val="0"/>
        </w:rPr>
        <w:t xml:space="preserve">General Service Requirements</w:t>
      </w:r>
    </w:p>
    <w:p w:rsidR="00000000" w:rsidDel="00000000" w:rsidP="00000000" w:rsidRDefault="00000000" w:rsidRPr="00000000" w14:paraId="00000062">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Suppliers shall deliver the Services relevant to and in support of Buyers’ property strategies and/or </w:t>
      </w:r>
      <w:hyperlink r:id="rId7">
        <w:r w:rsidDel="00000000" w:rsidR="00000000" w:rsidRPr="00000000">
          <w:rPr>
            <w:rFonts w:ascii="Arial" w:cs="Arial" w:eastAsia="Arial" w:hAnsi="Arial"/>
            <w:color w:val="1155cc"/>
            <w:sz w:val="20"/>
            <w:szCs w:val="20"/>
            <w:u w:val="single"/>
            <w:rtl w:val="0"/>
          </w:rPr>
          <w:t xml:space="preserve">Government Property Strategy</w:t>
        </w:r>
      </w:hyperlink>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63">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4">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Prior to, or upon receipt of an Order to undertake Estates Management Services, the Supplier shall provide an initial report that sets out their understanding of the brief, proposed approach to the task and fee proposal. An agreement must be made on the level of expertise and experience of the personnel to be involved with the Buyer. Whilst wishing to retain continuity within instructions, it is recognised that there may be occasions where a change in personnel is required, or even desirable. The Supplier shall ensure that any replacements are agreed with the Buyer and that suitable arrangements are made to enable a smooth handover transition thus minimising any detrimental effect and avoiding any additional costs to the Buyer.</w:t>
      </w:r>
    </w:p>
    <w:p w:rsidR="00000000" w:rsidDel="00000000" w:rsidP="00000000" w:rsidRDefault="00000000" w:rsidRPr="00000000" w14:paraId="00000065">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6">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For recommendations or advice given on financial settlements or valuations, the assessments shall be supported with relevant data. This will include comparable information of market transactions and costed breakdowns of other factors that have an effect on the value.</w:t>
      </w:r>
    </w:p>
    <w:p w:rsidR="00000000" w:rsidDel="00000000" w:rsidP="00000000" w:rsidRDefault="00000000" w:rsidRPr="00000000" w14:paraId="00000067">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8">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When terms are recommended for settlement, the Supplier shall provide the Buyer with a clear and unambiguous written statement before the terms are accepted. The terms shall be the best terms available and represent open market value. Any departure from these terms shall be set out in a written statement and issued to the Buyer before they are accepted.</w:t>
      </w:r>
    </w:p>
    <w:p w:rsidR="00000000" w:rsidDel="00000000" w:rsidP="00000000" w:rsidRDefault="00000000" w:rsidRPr="00000000" w14:paraId="00000069">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A">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Where the Buyer requires a conclusion to be legally formalised, the Supplier shall work with the Buyer’s appointed legal advisor, providing all necessary information and guidance to ensure a timely and satisfactory conclusion to the transaction.</w:t>
      </w:r>
    </w:p>
    <w:p w:rsidR="00000000" w:rsidDel="00000000" w:rsidP="00000000" w:rsidRDefault="00000000" w:rsidRPr="00000000" w14:paraId="0000006B">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C">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If agreement cannot be reached on a dispute, then mediation will be through RICS.</w:t>
      </w:r>
    </w:p>
    <w:p w:rsidR="00000000" w:rsidDel="00000000" w:rsidP="00000000" w:rsidRDefault="00000000" w:rsidRPr="00000000" w14:paraId="0000006D">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E">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Where the Services result in any changes to the Buyer’s estate, the Supplier shall provide all necessary assistance and information to update the Buyer’s property records.</w:t>
      </w:r>
    </w:p>
    <w:p w:rsidR="00000000" w:rsidDel="00000000" w:rsidP="00000000" w:rsidRDefault="00000000" w:rsidRPr="00000000" w14:paraId="0000006F">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0">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In all leasehold transactions, reporting must take full account of the effect of the transaction on both the landlord’s and tenant’s interests, the scope for creating marriage value and the extent to which this has been obtained for the Buyer.</w:t>
      </w:r>
    </w:p>
    <w:p w:rsidR="00000000" w:rsidDel="00000000" w:rsidP="00000000" w:rsidRDefault="00000000" w:rsidRPr="00000000" w14:paraId="00000071">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2">
      <w:pPr>
        <w:numPr>
          <w:ilvl w:val="1"/>
          <w:numId w:val="2"/>
        </w:numPr>
        <w:shd w:fill="ffffff" w:val="clear"/>
        <w:tabs>
          <w:tab w:val="left" w:leader="none" w:pos="1076"/>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A formal Order has to be issued by the Buyer to the Supplier before any chargeable Services are to be undertaken.  The Supplier cannot accept such an Order without a Framework access agreement number being present.</w:t>
      </w:r>
    </w:p>
    <w:p w:rsidR="00000000" w:rsidDel="00000000" w:rsidP="00000000" w:rsidRDefault="00000000" w:rsidRPr="00000000" w14:paraId="00000073">
      <w:pPr>
        <w:spacing w:after="0" w:before="0" w:line="240" w:lineRule="auto"/>
        <w:ind w:left="720" w:righ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4">
      <w:pPr>
        <w:numPr>
          <w:ilvl w:val="1"/>
          <w:numId w:val="2"/>
        </w:numPr>
        <w:shd w:fill="ffffff" w:val="clear"/>
        <w:tabs>
          <w:tab w:val="left" w:leader="none" w:pos="1218"/>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Supplier shall provide a senior representative to the Authority, departmental property or sector forums, including general property.</w:t>
      </w:r>
    </w:p>
    <w:p w:rsidR="00000000" w:rsidDel="00000000" w:rsidP="00000000" w:rsidRDefault="00000000" w:rsidRPr="00000000" w14:paraId="00000075">
      <w:pPr>
        <w:spacing w:after="0" w:before="0" w:line="240" w:lineRule="auto"/>
        <w:rPr/>
      </w:pPr>
      <w:r w:rsidDel="00000000" w:rsidR="00000000" w:rsidRPr="00000000">
        <w:rPr>
          <w:rtl w:val="0"/>
        </w:rPr>
      </w:r>
    </w:p>
    <w:p w:rsidR="00000000" w:rsidDel="00000000" w:rsidP="00000000" w:rsidRDefault="00000000" w:rsidRPr="00000000" w14:paraId="00000076">
      <w:pPr>
        <w:numPr>
          <w:ilvl w:val="1"/>
          <w:numId w:val="2"/>
        </w:numPr>
        <w:shd w:fill="ffffff" w:val="clear"/>
        <w:tabs>
          <w:tab w:val="left" w:leader="none" w:pos="1218"/>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The Supplier shall develop and deliver training courses, knowledge transfer, and industry best practice to the Authority and the Buyer to develop and improve intelligent client functionality.</w:t>
      </w:r>
    </w:p>
    <w:p w:rsidR="00000000" w:rsidDel="00000000" w:rsidP="00000000" w:rsidRDefault="00000000" w:rsidRPr="00000000" w14:paraId="00000077">
      <w:pPr>
        <w:shd w:fill="ffffff" w:val="clear"/>
        <w:tabs>
          <w:tab w:val="left" w:leader="none" w:pos="1076"/>
        </w:tabs>
        <w:spacing w:after="0" w:before="0" w:line="240" w:lineRule="auto"/>
        <w:ind w:left="792"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8">
      <w:pPr>
        <w:numPr>
          <w:ilvl w:val="1"/>
          <w:numId w:val="2"/>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The Supplier shall provide regulation focussed awareness sessions for the Authority and Buyer on new and emerging strategies and regulations.</w:t>
      </w:r>
      <w:r w:rsidDel="00000000" w:rsidR="00000000" w:rsidRPr="00000000">
        <w:br w:type="page"/>
      </w:r>
      <w:r w:rsidDel="00000000" w:rsidR="00000000" w:rsidRPr="00000000">
        <w:rPr>
          <w:rtl w:val="0"/>
        </w:rPr>
      </w:r>
    </w:p>
    <w:p w:rsidR="00000000" w:rsidDel="00000000" w:rsidP="00000000" w:rsidRDefault="00000000" w:rsidRPr="00000000" w14:paraId="00000079">
      <w:pPr>
        <w:rPr>
          <w:rFonts w:ascii="Arial" w:cs="Arial" w:eastAsia="Arial" w:hAnsi="Arial"/>
          <w:b w:val="1"/>
          <w:bCs w:val="1"/>
          <w:sz w:val="36"/>
          <w:szCs w:val="36"/>
        </w:rPr>
      </w:pPr>
      <w:r w:rsidDel="00000000" w:rsidR="00000000" w:rsidRPr="00000000">
        <w:rPr>
          <w:rFonts w:ascii="Arial" w:cs="Arial" w:eastAsia="Arial" w:hAnsi="Arial"/>
          <w:b w:val="1"/>
          <w:bCs w:val="1"/>
          <w:sz w:val="36"/>
          <w:szCs w:val="36"/>
          <w:rtl w:val="0"/>
        </w:rPr>
        <w:t xml:space="preserve">Specification</w:t>
      </w:r>
    </w:p>
    <w:p w:rsidR="00000000" w:rsidDel="00000000" w:rsidP="00000000" w:rsidRDefault="00000000" w:rsidRPr="00000000" w14:paraId="0000007A">
      <w:pPr>
        <w:pStyle w:val="Heading2"/>
        <w:numPr>
          <w:ilvl w:val="0"/>
          <w:numId w:val="1"/>
        </w:numPr>
        <w:tabs>
          <w:tab w:val="left" w:leader="none" w:pos="420"/>
        </w:tabs>
        <w:ind w:left="850" w:right="0" w:hanging="566"/>
        <w:rPr/>
      </w:pPr>
      <w:r w:rsidDel="00000000" w:rsidR="00000000" w:rsidRPr="00000000">
        <w:rPr>
          <w:sz w:val="26"/>
          <w:szCs w:val="26"/>
          <w:rtl w:val="0"/>
        </w:rPr>
        <w:t xml:space="preserve">Lot 1 - Total Estate Management</w:t>
      </w:r>
    </w:p>
    <w:p w:rsidR="00000000" w:rsidDel="00000000" w:rsidP="00000000" w:rsidRDefault="00000000" w:rsidRPr="00000000" w14:paraId="0000007B">
      <w:pPr>
        <w:tabs>
          <w:tab w:val="left" w:leader="none" w:pos="1134"/>
        </w:tabs>
        <w:spacing w:after="0" w:before="0" w:line="240" w:lineRule="auto"/>
        <w:jc w:val="both"/>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ab/>
        <w:tab/>
        <w:tab/>
      </w:r>
    </w:p>
    <w:p w:rsidR="00000000" w:rsidDel="00000000" w:rsidP="00000000" w:rsidRDefault="00000000" w:rsidRPr="00000000" w14:paraId="0000007C">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Operation and management to support the occupation of the Government estate, providing technical due diligence where required, providing an end to end service provision for the lifecycle of a property.</w:t>
      </w:r>
    </w:p>
    <w:p w:rsidR="00000000" w:rsidDel="00000000" w:rsidP="00000000" w:rsidRDefault="00000000" w:rsidRPr="00000000" w14:paraId="0000007D">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07E">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0"/>
      <w:r w:rsidDel="00000000" w:rsidR="00000000" w:rsidRPr="00000000">
        <w:rPr>
          <w:rFonts w:ascii="Arial" w:cs="Arial" w:eastAsia="Arial" w:hAnsi="Arial"/>
          <w:sz w:val="20"/>
          <w:szCs w:val="20"/>
          <w:highlight w:val="green"/>
          <w:rtl w:val="0"/>
        </w:rPr>
        <w:t xml:space="preserve">RM6343 - Framework Schedule 1 - Specification</w:t>
      </w:r>
      <w:commentRangeEnd w:id="0"/>
      <w:r w:rsidDel="00000000" w:rsidR="00000000" w:rsidRPr="00000000">
        <w:commentReference w:id="0"/>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tbl>
      <w:tblPr>
        <w:tblStyle w:val="Table1"/>
        <w:tblW w:w="964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90"/>
        <w:gridCol w:w="3345"/>
        <w:gridCol w:w="4410"/>
        <w:tblGridChange w:id="0">
          <w:tblGrid>
            <w:gridCol w:w="1890"/>
            <w:gridCol w:w="3345"/>
            <w:gridCol w:w="4410"/>
          </w:tblGrid>
        </w:tblGridChange>
      </w:tblGrid>
      <w:tr>
        <w:trPr>
          <w:cantSplit w:val="0"/>
          <w:trHeight w:val="882"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F">
            <w:pPr>
              <w:spacing w:after="200" w:before="0" w:lineRule="auto"/>
              <w:jc w:val="center"/>
              <w:rPr>
                <w:b w:val="1"/>
                <w:bCs w:val="1"/>
              </w:rPr>
            </w:pPr>
            <w:r w:rsidDel="00000000" w:rsidR="00000000" w:rsidRPr="00000000">
              <w:rPr>
                <w:b w:val="1"/>
                <w:bCs w:val="1"/>
                <w:rtl w:val="0"/>
              </w:rPr>
              <w:t xml:space="preserve">Service Line (Number)</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0">
            <w:pPr>
              <w:spacing w:after="200" w:before="0" w:lineRule="auto"/>
              <w:jc w:val="center"/>
              <w:rPr>
                <w:b w:val="1"/>
                <w:bCs w:val="1"/>
              </w:rPr>
            </w:pPr>
            <w:r w:rsidDel="00000000" w:rsidR="00000000" w:rsidRPr="00000000">
              <w:rPr>
                <w:b w:val="1"/>
                <w:bCs w:val="1"/>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1">
            <w:pPr>
              <w:spacing w:after="200" w:before="0" w:lineRule="auto"/>
              <w:jc w:val="center"/>
              <w:rPr>
                <w:b w:val="1"/>
                <w:bCs w:val="1"/>
              </w:rPr>
            </w:pPr>
            <w:r w:rsidDel="00000000" w:rsidR="00000000" w:rsidRPr="00000000">
              <w:rPr>
                <w:b w:val="1"/>
                <w:bCs w:val="1"/>
                <w:rtl w:val="0"/>
              </w:rPr>
              <w:t xml:space="preserve">The Supplier shall provide the following Services, acting on behalf of the Buyer either as a landlord or tenant:</w:t>
            </w:r>
          </w:p>
        </w:tc>
      </w:tr>
      <w:tr>
        <w:trPr>
          <w:cantSplit w:val="0"/>
          <w:trHeight w:val="2085"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82">
            <w:pPr>
              <w:keepNext w:val="0"/>
              <w:keepLines w:val="0"/>
              <w:widowControl w:val="1"/>
              <w:spacing w:after="200" w:before="0" w:line="276" w:lineRule="auto"/>
              <w:ind w:left="0" w:right="0" w:firstLine="0"/>
              <w:jc w:val="center"/>
              <w:rPr>
                <w:b w:val="1"/>
                <w:bCs w:val="1"/>
                <w:highlight w:val="green"/>
              </w:rPr>
            </w:pPr>
            <w:r w:rsidDel="00000000" w:rsidR="00000000" w:rsidRPr="00000000">
              <w:rPr>
                <w:b w:val="1"/>
                <w:bCs w:val="1"/>
                <w:highlight w:val="green"/>
                <w:rtl w:val="0"/>
              </w:rPr>
              <w:t xml:space="preserve">Example</w:t>
            </w:r>
          </w:p>
          <w:p w:rsidR="00000000" w:rsidDel="00000000" w:rsidP="00000000" w:rsidRDefault="00000000" w:rsidRPr="00000000" w14:paraId="00000083">
            <w:pPr>
              <w:keepNext w:val="0"/>
              <w:keepLines w:val="0"/>
              <w:widowControl w:val="1"/>
              <w:spacing w:after="200" w:before="0" w:line="276" w:lineRule="auto"/>
              <w:ind w:left="0" w:right="0" w:firstLine="0"/>
              <w:jc w:val="center"/>
              <w:rPr>
                <w:b w:val="1"/>
                <w:bCs w:val="1"/>
                <w:highlight w:val="green"/>
              </w:rPr>
            </w:pPr>
            <w:r w:rsidDel="00000000" w:rsidR="00000000" w:rsidRPr="00000000">
              <w:rPr>
                <w:rtl w:val="0"/>
              </w:rPr>
            </w:r>
          </w:p>
          <w:p w:rsidR="00000000" w:rsidDel="00000000" w:rsidP="00000000" w:rsidRDefault="00000000" w:rsidRPr="00000000" w14:paraId="00000084">
            <w:pPr>
              <w:keepNext w:val="0"/>
              <w:keepLines w:val="0"/>
              <w:widowControl w:val="1"/>
              <w:spacing w:after="200" w:before="0" w:line="276" w:lineRule="auto"/>
              <w:ind w:left="0" w:right="0" w:firstLine="0"/>
              <w:jc w:val="center"/>
              <w:rPr>
                <w:b w:val="1"/>
                <w:bCs w:val="1"/>
                <w:highlight w:val="green"/>
              </w:rPr>
            </w:pPr>
            <w:r w:rsidDel="00000000" w:rsidR="00000000" w:rsidRPr="00000000">
              <w:rPr>
                <w:b w:val="1"/>
                <w:bCs w:val="1"/>
                <w:highlight w:val="green"/>
                <w:rtl w:val="0"/>
              </w:rPr>
              <w:t xml:space="preserve">1.1.01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85">
            <w:pPr>
              <w:spacing w:after="200" w:before="0" w:lineRule="auto"/>
              <w:rPr>
                <w:b w:val="1"/>
                <w:bCs w:val="1"/>
                <w:highlight w:val="green"/>
              </w:rPr>
            </w:pPr>
            <w:bookmarkStart w:colFirst="0" w:colLast="0" w:name="_clrp5ss60cet" w:id="6"/>
            <w:bookmarkEnd w:id="6"/>
            <w:r w:rsidDel="00000000" w:rsidR="00000000" w:rsidRPr="00000000">
              <w:rPr>
                <w:b w:val="1"/>
                <w:bCs w:val="1"/>
                <w:highlight w:val="green"/>
                <w:rtl w:val="0"/>
              </w:rPr>
              <w:t xml:space="preserve">Estate, asset &amp; property management</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86">
            <w:pPr>
              <w:keepNext w:val="0"/>
              <w:keepLines w:val="0"/>
              <w:widowControl w:val="1"/>
              <w:spacing w:after="200" w:before="0" w:line="276" w:lineRule="auto"/>
              <w:ind w:left="0" w:right="0" w:firstLine="0"/>
              <w:jc w:val="center"/>
              <w:rPr>
                <w:b w:val="1"/>
                <w:bCs w:val="1"/>
                <w:highlight w:val="green"/>
              </w:rPr>
            </w:pPr>
            <w:r w:rsidDel="00000000" w:rsidR="00000000" w:rsidRPr="00000000">
              <w:rPr>
                <w:b w:val="1"/>
                <w:bCs w:val="1"/>
                <w:highlight w:val="green"/>
                <w:rtl w:val="0"/>
              </w:rPr>
              <w:t xml:space="preserve">Asset management of the commercial, retail, industrial, residential, institutional, land, agricultural or other estate, integrating and liaising with current estate suppliers as necessary (including maximising revenue, managing maintenance and repair, interaction with occupiers and key service providers, budget management and forecasting).</w:t>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7">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8">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C">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D">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F">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0">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1">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3">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6">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7">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8">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99">
      <w:pPr>
        <w:spacing w:after="0" w:before="0" w:line="259" w:lineRule="auto"/>
        <w:jc w:val="both"/>
        <w:rPr>
          <w:sz w:val="20"/>
          <w:szCs w:val="20"/>
        </w:rPr>
      </w:pPr>
      <w:r w:rsidDel="00000000" w:rsidR="00000000" w:rsidRPr="00000000">
        <w:rPr>
          <w:rtl w:val="0"/>
        </w:rPr>
      </w:r>
    </w:p>
    <w:p w:rsidR="00000000" w:rsidDel="00000000" w:rsidP="00000000" w:rsidRDefault="00000000" w:rsidRPr="00000000" w14:paraId="0000009A">
      <w:pPr>
        <w:spacing w:after="0" w:before="0" w:line="259" w:lineRule="auto"/>
        <w:ind w:left="36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1.3.</w:t>
        <w:tab/>
        <w:t xml:space="preserve">Services should be delivered to the appropriate RICS standards, guidance or practises as currently published.</w:t>
      </w:r>
    </w:p>
    <w:p w:rsidR="00000000" w:rsidDel="00000000" w:rsidP="00000000" w:rsidRDefault="00000000" w:rsidRPr="00000000" w14:paraId="0000009B">
      <w:pPr>
        <w:spacing w:after="200" w:before="200" w:line="240" w:lineRule="auto"/>
        <w:ind w:left="0" w:right="0" w:firstLine="0"/>
        <w:r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9C">
      <w:pPr>
        <w:pStyle w:val="Heading2"/>
        <w:numPr>
          <w:ilvl w:val="0"/>
          <w:numId w:val="1"/>
        </w:numPr>
        <w:tabs>
          <w:tab w:val="left" w:leader="none" w:pos="420"/>
        </w:tabs>
        <w:ind w:left="850" w:right="0" w:hanging="566"/>
        <w:rPr/>
      </w:pPr>
      <w:r w:rsidDel="00000000" w:rsidR="00000000" w:rsidRPr="00000000">
        <w:rPr>
          <w:sz w:val="26"/>
          <w:szCs w:val="26"/>
          <w:rtl w:val="0"/>
        </w:rPr>
        <w:t xml:space="preserve">Lot 2 - Estate (Property) Management</w:t>
        <w:tab/>
      </w:r>
    </w:p>
    <w:p w:rsidR="00000000" w:rsidDel="00000000" w:rsidP="00000000" w:rsidRDefault="00000000" w:rsidRPr="00000000" w14:paraId="0000009D">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Operation and management to support the occupation of the government estate, providing both technical and operational due diligence where required, including providing an oversight of the property to include policy, maintenance, capital works and strategic asset management plans in support of the Buyers’ property strategy.</w:t>
      </w:r>
    </w:p>
    <w:p w:rsidR="00000000" w:rsidDel="00000000" w:rsidP="00000000" w:rsidRDefault="00000000" w:rsidRPr="00000000" w14:paraId="0000009E">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09F">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1"/>
      <w:r w:rsidDel="00000000" w:rsidR="00000000" w:rsidRPr="00000000">
        <w:rPr>
          <w:rFonts w:ascii="Arial" w:cs="Arial" w:eastAsia="Arial" w:hAnsi="Arial"/>
          <w:sz w:val="20"/>
          <w:szCs w:val="20"/>
          <w:highlight w:val="green"/>
          <w:rtl w:val="0"/>
        </w:rPr>
        <w:t xml:space="preserve">RM6343 - Framework Schedule 1 - Specification</w:t>
      </w:r>
      <w:commentRangeEnd w:id="1"/>
      <w:r w:rsidDel="00000000" w:rsidR="00000000" w:rsidRPr="00000000">
        <w:commentReference w:id="1"/>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p w:rsidR="00000000" w:rsidDel="00000000" w:rsidP="00000000" w:rsidRDefault="00000000" w:rsidRPr="00000000" w14:paraId="000000A0">
      <w:pPr>
        <w:spacing w:after="200" w:before="200" w:line="240" w:lineRule="auto"/>
        <w:ind w:left="850" w:right="0" w:firstLine="0"/>
        <w:rPr>
          <w:rFonts w:ascii="Arial" w:cs="Arial" w:eastAsia="Arial" w:hAnsi="Arial"/>
          <w:sz w:val="20"/>
          <w:szCs w:val="20"/>
          <w:highlight w:val="green"/>
        </w:rPr>
      </w:pPr>
      <w:r w:rsidDel="00000000" w:rsidR="00000000" w:rsidRPr="00000000">
        <w:rPr>
          <w:rtl w:val="0"/>
        </w:rPr>
      </w:r>
    </w:p>
    <w:tbl>
      <w:tblPr>
        <w:tblStyle w:val="Table2"/>
        <w:tblW w:w="964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90"/>
        <w:gridCol w:w="3345"/>
        <w:gridCol w:w="4410"/>
        <w:tblGridChange w:id="0">
          <w:tblGrid>
            <w:gridCol w:w="1890"/>
            <w:gridCol w:w="3345"/>
            <w:gridCol w:w="4410"/>
          </w:tblGrid>
        </w:tblGridChange>
      </w:tblGrid>
      <w:tr>
        <w:trPr>
          <w:cantSplit w:val="0"/>
          <w:trHeight w:val="882"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1">
            <w:pPr>
              <w:spacing w:after="200" w:before="0" w:lineRule="auto"/>
              <w:jc w:val="center"/>
              <w:rPr>
                <w:b w:val="1"/>
                <w:bCs w:val="1"/>
              </w:rPr>
            </w:pPr>
            <w:r w:rsidDel="00000000" w:rsidR="00000000" w:rsidRPr="00000000">
              <w:rPr>
                <w:b w:val="1"/>
                <w:bCs w:val="1"/>
                <w:rtl w:val="0"/>
              </w:rPr>
              <w:t xml:space="preserve">Service Line (Number)</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2">
            <w:pPr>
              <w:spacing w:after="200" w:before="0" w:lineRule="auto"/>
              <w:jc w:val="center"/>
              <w:rPr>
                <w:b w:val="1"/>
                <w:bCs w:val="1"/>
              </w:rPr>
            </w:pPr>
            <w:r w:rsidDel="00000000" w:rsidR="00000000" w:rsidRPr="00000000">
              <w:rPr>
                <w:b w:val="1"/>
                <w:bCs w:val="1"/>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3">
            <w:pPr>
              <w:spacing w:after="200" w:before="0" w:lineRule="auto"/>
              <w:jc w:val="center"/>
              <w:rPr>
                <w:b w:val="1"/>
                <w:bCs w:val="1"/>
              </w:rPr>
            </w:pPr>
            <w:r w:rsidDel="00000000" w:rsidR="00000000" w:rsidRPr="00000000">
              <w:rPr>
                <w:b w:val="1"/>
                <w:bCs w:val="1"/>
                <w:rtl w:val="0"/>
              </w:rPr>
              <w:t xml:space="preserve">The Supplier shall provide the following Services, acting on behalf of the Buyer either as a landlord or tenant:</w:t>
            </w:r>
          </w:p>
        </w:tc>
      </w:tr>
      <w:tr>
        <w:trPr>
          <w:cantSplit w:val="0"/>
          <w:trHeight w:val="2085"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4">
            <w:pPr>
              <w:jc w:val="center"/>
              <w:rPr>
                <w:b w:val="1"/>
                <w:bCs w:val="1"/>
                <w:highlight w:val="green"/>
              </w:rPr>
            </w:pPr>
            <w:r w:rsidDel="00000000" w:rsidR="00000000" w:rsidRPr="00000000">
              <w:rPr>
                <w:b w:val="1"/>
                <w:bCs w:val="1"/>
                <w:highlight w:val="green"/>
                <w:rtl w:val="0"/>
              </w:rPr>
              <w:t xml:space="preserve">Example</w:t>
            </w:r>
          </w:p>
          <w:p w:rsidR="00000000" w:rsidDel="00000000" w:rsidP="00000000" w:rsidRDefault="00000000" w:rsidRPr="00000000" w14:paraId="000000A5">
            <w:pPr>
              <w:jc w:val="center"/>
              <w:rPr>
                <w:b w:val="1"/>
                <w:bCs w:val="1"/>
                <w:highlight w:val="green"/>
              </w:rPr>
            </w:pPr>
            <w:r w:rsidDel="00000000" w:rsidR="00000000" w:rsidRPr="00000000">
              <w:rPr>
                <w:rtl w:val="0"/>
              </w:rPr>
            </w:r>
          </w:p>
          <w:p w:rsidR="00000000" w:rsidDel="00000000" w:rsidP="00000000" w:rsidRDefault="00000000" w:rsidRPr="00000000" w14:paraId="000000A6">
            <w:pPr>
              <w:spacing w:after="200" w:before="0" w:lineRule="auto"/>
              <w:jc w:val="center"/>
              <w:rPr>
                <w:highlight w:val="green"/>
              </w:rPr>
            </w:pPr>
            <w:r w:rsidDel="00000000" w:rsidR="00000000" w:rsidRPr="00000000">
              <w:rPr>
                <w:highlight w:val="green"/>
                <w:rtl w:val="0"/>
              </w:rPr>
              <w:t xml:space="preserve">2.01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7">
            <w:pPr>
              <w:spacing w:after="200" w:before="0" w:lineRule="auto"/>
              <w:rPr>
                <w:b w:val="1"/>
                <w:bCs w:val="1"/>
                <w:highlight w:val="green"/>
              </w:rPr>
            </w:pPr>
            <w:bookmarkStart w:colFirst="0" w:colLast="0" w:name="_gh4i6ot3uz1d" w:id="7"/>
            <w:bookmarkEnd w:id="7"/>
            <w:r w:rsidDel="00000000" w:rsidR="00000000" w:rsidRPr="00000000">
              <w:rPr>
                <w:b w:val="1"/>
                <w:bCs w:val="1"/>
                <w:highlight w:val="green"/>
                <w:rtl w:val="0"/>
              </w:rPr>
              <w:t xml:space="preserve">Estate, asset &amp; property management</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8">
            <w:pPr>
              <w:spacing w:after="200" w:before="0" w:lineRule="auto"/>
              <w:jc w:val="center"/>
              <w:rPr>
                <w:b w:val="1"/>
                <w:bCs w:val="1"/>
                <w:highlight w:val="green"/>
              </w:rPr>
            </w:pPr>
            <w:r w:rsidDel="00000000" w:rsidR="00000000" w:rsidRPr="00000000">
              <w:rPr>
                <w:b w:val="1"/>
                <w:bCs w:val="1"/>
                <w:highlight w:val="green"/>
                <w:rtl w:val="0"/>
              </w:rPr>
              <w:t xml:space="preserve">Asset management of the commercial, retail, industrial, residential, institutional, land, agricultural or other estate, integrating and liaising with current estate suppliers as necessary (including maximising revenue, managing maintenance and repair, interaction with occupiers and key service providers, budget management and forecasting).</w:t>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A">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B">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C">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D">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E">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F">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3">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4">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5">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6">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7">
            <w:pPr>
              <w:spacing w:after="200" w:before="0" w:lineRule="auto"/>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8">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9">
            <w:pPr>
              <w:spacing w:after="200" w:before="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A">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BB">
      <w:pPr>
        <w:spacing w:after="0" w:before="0" w:line="259" w:lineRule="auto"/>
        <w:jc w:val="both"/>
        <w:rPr>
          <w:sz w:val="20"/>
          <w:szCs w:val="20"/>
        </w:rPr>
      </w:pPr>
      <w:r w:rsidDel="00000000" w:rsidR="00000000" w:rsidRPr="00000000">
        <w:rPr>
          <w:rtl w:val="0"/>
        </w:rPr>
      </w:r>
    </w:p>
    <w:p w:rsidR="00000000" w:rsidDel="00000000" w:rsidP="00000000" w:rsidRDefault="00000000" w:rsidRPr="00000000" w14:paraId="000000BC">
      <w:pPr>
        <w:spacing w:after="160" w:before="0" w:line="259" w:lineRule="auto"/>
        <w:rPr>
          <w:sz w:val="20"/>
          <w:szCs w:val="20"/>
        </w:rPr>
      </w:pPr>
      <w:r w:rsidDel="00000000" w:rsidR="00000000" w:rsidRPr="00000000">
        <w:rPr>
          <w:sz w:val="20"/>
          <w:szCs w:val="20"/>
          <w:rtl w:val="0"/>
        </w:rPr>
        <w:tab/>
        <w:tab/>
        <w:tab/>
        <w:tab/>
      </w:r>
    </w:p>
    <w:p w:rsidR="00000000" w:rsidDel="00000000" w:rsidP="00000000" w:rsidRDefault="00000000" w:rsidRPr="00000000" w14:paraId="000000BD">
      <w:pPr>
        <w:spacing w:after="160" w:before="0" w:line="259"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2.3.</w:t>
        <w:tab/>
        <w:t xml:space="preserve">Services should be delivered to the appropriate RICS standards, guidance or practises as currently published. </w:t>
      </w:r>
    </w:p>
    <w:p w:rsidR="00000000" w:rsidDel="00000000" w:rsidP="00000000" w:rsidRDefault="00000000" w:rsidRPr="00000000" w14:paraId="000000BE">
      <w:pPr>
        <w:spacing w:after="200" w:before="200" w:line="240" w:lineRule="auto"/>
        <w:ind w:left="0" w:right="0" w:firstLine="0"/>
        <w:r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rPr>
          <w:rtl w:val="0"/>
        </w:rPr>
      </w:r>
    </w:p>
    <w:p w:rsidR="00000000" w:rsidDel="00000000" w:rsidP="00000000" w:rsidRDefault="00000000" w:rsidRPr="00000000" w14:paraId="000000BF">
      <w:pPr>
        <w:spacing w:after="160" w:before="0" w:line="259"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0">
      <w:pPr>
        <w:rPr>
          <w:rFonts w:ascii="Arial" w:cs="Arial" w:eastAsia="Arial" w:hAnsi="Arial"/>
          <w:b w:val="1"/>
          <w:bCs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C1">
      <w:pPr>
        <w:pStyle w:val="Heading2"/>
        <w:numPr>
          <w:ilvl w:val="0"/>
          <w:numId w:val="1"/>
        </w:numPr>
        <w:tabs>
          <w:tab w:val="left" w:leader="none" w:pos="420"/>
        </w:tabs>
        <w:ind w:left="850" w:right="0" w:hanging="566"/>
        <w:rPr/>
      </w:pPr>
      <w:r w:rsidDel="00000000" w:rsidR="00000000" w:rsidRPr="00000000">
        <w:rPr>
          <w:sz w:val="26"/>
          <w:szCs w:val="26"/>
          <w:rtl w:val="0"/>
        </w:rPr>
        <w:t xml:space="preserve">Lot 3 - Agency &amp; Lease Management</w:t>
      </w:r>
    </w:p>
    <w:p w:rsidR="00000000" w:rsidDel="00000000" w:rsidP="00000000" w:rsidRDefault="00000000" w:rsidRPr="00000000" w14:paraId="000000C2">
      <w:pPr>
        <w:spacing w:after="0" w:before="0" w:line="259"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3">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Management of freeholds or leaseholds to support the acquisition, occupation or disposal of the government estate, providing technical due diligence where required.</w:t>
      </w:r>
    </w:p>
    <w:p w:rsidR="00000000" w:rsidDel="00000000" w:rsidP="00000000" w:rsidRDefault="00000000" w:rsidRPr="00000000" w14:paraId="000000C4">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0C5">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2"/>
      <w:r w:rsidDel="00000000" w:rsidR="00000000" w:rsidRPr="00000000">
        <w:rPr>
          <w:rFonts w:ascii="Arial" w:cs="Arial" w:eastAsia="Arial" w:hAnsi="Arial"/>
          <w:sz w:val="20"/>
          <w:szCs w:val="20"/>
          <w:highlight w:val="green"/>
          <w:rtl w:val="0"/>
        </w:rPr>
        <w:t xml:space="preserve">RM6343 - Framework Schedule 1 - Specification</w:t>
      </w:r>
      <w:commentRangeEnd w:id="2"/>
      <w:r w:rsidDel="00000000" w:rsidR="00000000" w:rsidRPr="00000000">
        <w:commentReference w:id="2"/>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tbl>
      <w:tblPr>
        <w:tblStyle w:val="Table3"/>
        <w:tblW w:w="9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2205"/>
        <w:gridCol w:w="5850"/>
        <w:tblGridChange w:id="0">
          <w:tblGrid>
            <w:gridCol w:w="1335"/>
            <w:gridCol w:w="2205"/>
            <w:gridCol w:w="5850"/>
          </w:tblGrid>
        </w:tblGridChange>
      </w:tblGrid>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6">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Service Line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7">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8">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The Supplier shall provide the following Services, acting on behalf of the Buyer either as a landlord or tenant, which include, but are not limited to:</w:t>
            </w:r>
          </w:p>
          <w:p w:rsidR="00000000" w:rsidDel="00000000" w:rsidP="00000000" w:rsidRDefault="00000000" w:rsidRPr="00000000" w14:paraId="000000C9">
            <w:pPr>
              <w:spacing w:after="200" w:before="0" w:lineRule="auto"/>
              <w:jc w:val="center"/>
              <w:rPr>
                <w:rFonts w:ascii="Arial" w:cs="Arial" w:eastAsia="Arial" w:hAnsi="Arial"/>
                <w:b w:val="1"/>
                <w:bCs w:val="1"/>
                <w:sz w:val="20"/>
                <w:szCs w:val="20"/>
              </w:rPr>
            </w:pPr>
            <w:r w:rsidDel="00000000" w:rsidR="00000000" w:rsidRPr="00000000">
              <w:rPr>
                <w:rtl w:val="0"/>
              </w:rPr>
            </w:r>
          </w:p>
        </w:tc>
      </w:tr>
      <w:tr>
        <w:trPr>
          <w:cantSplit w:val="0"/>
          <w:trHeight w:val="2550"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CA">
            <w:pPr>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Example</w:t>
            </w:r>
          </w:p>
          <w:p w:rsidR="00000000" w:rsidDel="00000000" w:rsidP="00000000" w:rsidRDefault="00000000" w:rsidRPr="00000000" w14:paraId="000000CB">
            <w:pPr>
              <w:jc w:val="center"/>
              <w:rPr>
                <w:rFonts w:ascii="Arial" w:cs="Arial" w:eastAsia="Arial" w:hAnsi="Arial"/>
                <w:sz w:val="20"/>
                <w:szCs w:val="20"/>
                <w:highlight w:val="green"/>
              </w:rPr>
            </w:pPr>
            <w:r w:rsidDel="00000000" w:rsidR="00000000" w:rsidRPr="00000000">
              <w:rPr>
                <w:rtl w:val="0"/>
              </w:rPr>
            </w:r>
          </w:p>
          <w:p w:rsidR="00000000" w:rsidDel="00000000" w:rsidP="00000000" w:rsidRDefault="00000000" w:rsidRPr="00000000" w14:paraId="000000CC">
            <w:pPr>
              <w:spacing w:after="200" w:before="0" w:lineRule="auto"/>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3.01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CD">
            <w:pPr>
              <w:spacing w:after="200" w:before="0" w:line="276" w:lineRule="auto"/>
              <w:rPr/>
            </w:pPr>
            <w:r w:rsidDel="00000000" w:rsidR="00000000" w:rsidRPr="00000000">
              <w:rPr>
                <w:rFonts w:ascii="Arial" w:cs="Arial" w:eastAsia="Arial" w:hAnsi="Arial"/>
                <w:b w:val="1"/>
                <w:bCs w:val="1"/>
                <w:sz w:val="20"/>
                <w:szCs w:val="20"/>
                <w:highlight w:val="green"/>
                <w:rtl w:val="0"/>
              </w:rPr>
              <w:t xml:space="preserve">Acquisition</w:t>
            </w:r>
            <w:r w:rsidDel="00000000" w:rsidR="00000000" w:rsidRPr="00000000">
              <w:rPr>
                <w:rFonts w:ascii="Arial" w:cs="Arial" w:eastAsia="Arial" w:hAnsi="Arial"/>
                <w:sz w:val="20"/>
                <w:szCs w:val="20"/>
                <w:highlight w:val="green"/>
                <w:rtl w:val="0"/>
              </w:rPr>
              <w:t xml:space="preserve"> of Land, Freehold or Leasehold Property (includes letting or other commercial arrangements)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CE">
            <w:pPr>
              <w:numPr>
                <w:ilvl w:val="0"/>
                <w:numId w:val="5"/>
              </w:numPr>
              <w:spacing w:after="0" w:before="0" w:line="240" w:lineRule="auto"/>
              <w:ind w:left="720" w:right="0" w:hanging="360"/>
              <w:rPr>
                <w:highlight w:val="green"/>
              </w:rPr>
            </w:pPr>
            <w:r w:rsidDel="00000000" w:rsidR="00000000" w:rsidRPr="00000000">
              <w:rPr>
                <w:rFonts w:ascii="Arial" w:cs="Arial" w:eastAsia="Arial" w:hAnsi="Arial"/>
                <w:sz w:val="20"/>
                <w:szCs w:val="20"/>
                <w:highlight w:val="green"/>
                <w:rtl w:val="0"/>
              </w:rPr>
              <w:t xml:space="preserve">The preparation of lists of potential properties or land (including availability review of the government estate via the Government Property Agency);</w:t>
            </w:r>
          </w:p>
          <w:p w:rsidR="00000000" w:rsidDel="00000000" w:rsidP="00000000" w:rsidRDefault="00000000" w:rsidRPr="00000000" w14:paraId="000000CF">
            <w:pPr>
              <w:numPr>
                <w:ilvl w:val="0"/>
                <w:numId w:val="5"/>
              </w:numPr>
              <w:spacing w:after="0" w:before="0" w:line="240" w:lineRule="auto"/>
              <w:ind w:left="720" w:right="0" w:hanging="360"/>
              <w:rPr>
                <w:highlight w:val="green"/>
              </w:rPr>
            </w:pPr>
            <w:r w:rsidDel="00000000" w:rsidR="00000000" w:rsidRPr="00000000">
              <w:rPr>
                <w:rFonts w:ascii="Arial" w:cs="Arial" w:eastAsia="Arial" w:hAnsi="Arial"/>
                <w:sz w:val="20"/>
                <w:szCs w:val="20"/>
                <w:highlight w:val="green"/>
                <w:rtl w:val="0"/>
              </w:rPr>
              <w:t xml:space="preserve">Assistance in identifying appropriate terms; </w:t>
            </w:r>
          </w:p>
          <w:p w:rsidR="00000000" w:rsidDel="00000000" w:rsidP="00000000" w:rsidRDefault="00000000" w:rsidRPr="00000000" w14:paraId="000000D0">
            <w:pPr>
              <w:numPr>
                <w:ilvl w:val="0"/>
                <w:numId w:val="5"/>
              </w:numPr>
              <w:spacing w:after="0" w:before="0" w:line="240" w:lineRule="auto"/>
              <w:ind w:left="720" w:right="0" w:hanging="360"/>
              <w:rPr>
                <w:highlight w:val="green"/>
              </w:rPr>
            </w:pPr>
            <w:r w:rsidDel="00000000" w:rsidR="00000000" w:rsidRPr="00000000">
              <w:rPr>
                <w:rFonts w:ascii="Arial" w:cs="Arial" w:eastAsia="Arial" w:hAnsi="Arial"/>
                <w:sz w:val="20"/>
                <w:szCs w:val="20"/>
                <w:highlight w:val="green"/>
                <w:rtl w:val="0"/>
              </w:rPr>
              <w:t xml:space="preserve">Identification of any surveys that may be required;</w:t>
            </w:r>
          </w:p>
          <w:p w:rsidR="00000000" w:rsidDel="00000000" w:rsidP="00000000" w:rsidRDefault="00000000" w:rsidRPr="00000000" w14:paraId="000000D1">
            <w:pPr>
              <w:numPr>
                <w:ilvl w:val="0"/>
                <w:numId w:val="5"/>
              </w:numPr>
              <w:spacing w:after="0" w:before="0" w:line="240" w:lineRule="auto"/>
              <w:ind w:left="720" w:right="0" w:hanging="360"/>
              <w:rPr>
                <w:highlight w:val="green"/>
              </w:rPr>
            </w:pPr>
            <w:r w:rsidDel="00000000" w:rsidR="00000000" w:rsidRPr="00000000">
              <w:rPr>
                <w:rFonts w:ascii="Arial" w:cs="Arial" w:eastAsia="Arial" w:hAnsi="Arial"/>
                <w:sz w:val="20"/>
                <w:szCs w:val="20"/>
                <w:highlight w:val="green"/>
                <w:rtl w:val="0"/>
              </w:rPr>
              <w:t xml:space="preserve">Advice on the most appropriate solution;</w:t>
            </w:r>
          </w:p>
          <w:p w:rsidR="00000000" w:rsidDel="00000000" w:rsidP="00000000" w:rsidRDefault="00000000" w:rsidRPr="00000000" w14:paraId="000000D2">
            <w:pPr>
              <w:numPr>
                <w:ilvl w:val="0"/>
                <w:numId w:val="5"/>
              </w:numPr>
              <w:spacing w:after="0" w:before="0" w:line="240" w:lineRule="auto"/>
              <w:ind w:left="720" w:right="0" w:hanging="360"/>
              <w:rPr>
                <w:highlight w:val="green"/>
              </w:rPr>
            </w:pPr>
            <w:r w:rsidDel="00000000" w:rsidR="00000000" w:rsidRPr="00000000">
              <w:rPr>
                <w:rFonts w:ascii="Arial" w:cs="Arial" w:eastAsia="Arial" w:hAnsi="Arial"/>
                <w:sz w:val="20"/>
                <w:szCs w:val="20"/>
                <w:highlight w:val="green"/>
                <w:rtl w:val="0"/>
              </w:rPr>
              <w:t xml:space="preserve">Undertaking negotiations </w:t>
              <w:br w:type="textWrapping"/>
              <w:t xml:space="preserve">Agreeing appropriate terms and conditions; and </w:t>
            </w:r>
          </w:p>
          <w:p w:rsidR="00000000" w:rsidDel="00000000" w:rsidP="00000000" w:rsidRDefault="00000000" w:rsidRPr="00000000" w14:paraId="000000D3">
            <w:pPr>
              <w:numPr>
                <w:ilvl w:val="0"/>
                <w:numId w:val="5"/>
              </w:numPr>
              <w:spacing w:after="0" w:before="0" w:line="240" w:lineRule="auto"/>
              <w:ind w:left="720" w:right="0" w:hanging="360"/>
              <w:rPr>
                <w:highlight w:val="green"/>
              </w:rPr>
            </w:pPr>
            <w:r w:rsidDel="00000000" w:rsidR="00000000" w:rsidRPr="00000000">
              <w:rPr>
                <w:rFonts w:ascii="Arial" w:cs="Arial" w:eastAsia="Arial" w:hAnsi="Arial"/>
                <w:sz w:val="20"/>
                <w:szCs w:val="20"/>
                <w:highlight w:val="green"/>
                <w:rtl w:val="0"/>
              </w:rPr>
              <w:t xml:space="preserve">Acquiring the recommended asset.</w:t>
            </w:r>
          </w:p>
          <w:p w:rsidR="00000000" w:rsidDel="00000000" w:rsidP="00000000" w:rsidRDefault="00000000" w:rsidRPr="00000000" w14:paraId="000000D4">
            <w:pPr>
              <w:numPr>
                <w:ilvl w:val="0"/>
                <w:numId w:val="5"/>
              </w:numPr>
              <w:spacing w:after="200" w:before="0" w:lineRule="auto"/>
              <w:ind w:left="720" w:right="0" w:hanging="360"/>
              <w:rPr>
                <w:highlight w:val="green"/>
              </w:rPr>
            </w:pPr>
            <w:r w:rsidDel="00000000" w:rsidR="00000000" w:rsidRPr="00000000">
              <w:rPr>
                <w:rFonts w:ascii="Arial" w:cs="Arial" w:eastAsia="Arial" w:hAnsi="Arial"/>
                <w:sz w:val="20"/>
                <w:szCs w:val="20"/>
                <w:highlight w:val="green"/>
                <w:rtl w:val="0"/>
              </w:rPr>
              <w:t xml:space="preserve">Liaising with the Buyer’s solicitors and with other relevant professionals providing all reasonably necessary input as required.</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5">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6">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7">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8">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9">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A">
            <w:pPr>
              <w:spacing w:after="200" w:before="0" w:lineRule="auto"/>
              <w:rPr>
                <w:rFonts w:ascii="Arial" w:cs="Arial" w:eastAsia="Arial" w:hAnsi="Arial"/>
                <w:sz w:val="20"/>
                <w:szCs w:val="20"/>
              </w:rPr>
            </w:pPr>
            <w:r w:rsidDel="00000000" w:rsidR="00000000" w:rsidRPr="00000000">
              <w:rPr>
                <w:rtl w:val="0"/>
              </w:rPr>
            </w:r>
          </w:p>
        </w:tc>
      </w:tr>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B">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C">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D">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E">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F">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0">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1">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2">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3">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4">
            <w:pPr>
              <w:spacing w:after="200" w:before="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5">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6">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E7">
      <w:pPr>
        <w:spacing w:after="160" w:before="0" w:line="259" w:lineRule="auto"/>
        <w:rPr>
          <w:sz w:val="20"/>
          <w:szCs w:val="20"/>
        </w:rPr>
      </w:pPr>
      <w:r w:rsidDel="00000000" w:rsidR="00000000" w:rsidRPr="00000000">
        <w:rPr>
          <w:sz w:val="20"/>
          <w:szCs w:val="20"/>
          <w:rtl w:val="0"/>
        </w:rPr>
        <w:tab/>
        <w:tab/>
        <w:tab/>
      </w:r>
    </w:p>
    <w:p w:rsidR="00000000" w:rsidDel="00000000" w:rsidP="00000000" w:rsidRDefault="00000000" w:rsidRPr="00000000" w14:paraId="000000E8">
      <w:pPr>
        <w:spacing w:after="0" w:before="0" w:line="259"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3.3.</w:t>
        <w:tab/>
        <w:t xml:space="preserve">Services should be delivered to the appropriate RICS standards, guidance or practises as currently published.</w:t>
      </w:r>
    </w:p>
    <w:p w:rsidR="00000000" w:rsidDel="00000000" w:rsidP="00000000" w:rsidRDefault="00000000" w:rsidRPr="00000000" w14:paraId="000000E9">
      <w:pPr>
        <w:spacing w:after="200" w:before="200" w:line="240" w:lineRule="auto"/>
        <w:r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rPr>
          <w:rtl w:val="0"/>
        </w:rPr>
      </w:r>
    </w:p>
    <w:p w:rsidR="00000000" w:rsidDel="00000000" w:rsidP="00000000" w:rsidRDefault="00000000" w:rsidRPr="00000000" w14:paraId="000000EA">
      <w:pPr>
        <w:spacing w:after="160" w:before="0" w:line="259" w:lineRule="auto"/>
        <w:rPr>
          <w:rFonts w:ascii="Arial" w:cs="Arial" w:eastAsia="Arial" w:hAnsi="Arial"/>
          <w:b w:val="1"/>
          <w:bCs w:val="1"/>
          <w:sz w:val="20"/>
          <w:szCs w:val="20"/>
        </w:rPr>
      </w:pPr>
      <w:r w:rsidDel="00000000" w:rsidR="00000000" w:rsidRPr="00000000">
        <w:rPr>
          <w:rtl w:val="0"/>
        </w:rPr>
      </w:r>
    </w:p>
    <w:p w:rsidR="00000000" w:rsidDel="00000000" w:rsidP="00000000" w:rsidRDefault="00000000" w:rsidRPr="00000000" w14:paraId="000000EB">
      <w:pPr>
        <w:rPr>
          <w:rFonts w:ascii="Arial" w:cs="Arial" w:eastAsia="Arial" w:hAnsi="Arial"/>
          <w:b w:val="1"/>
          <w:bCs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EC">
      <w:pPr>
        <w:pStyle w:val="Heading2"/>
        <w:numPr>
          <w:ilvl w:val="0"/>
          <w:numId w:val="1"/>
        </w:numPr>
        <w:tabs>
          <w:tab w:val="left" w:leader="none" w:pos="420"/>
        </w:tabs>
        <w:ind w:left="850" w:right="0" w:hanging="566"/>
        <w:rPr/>
      </w:pPr>
      <w:r w:rsidDel="00000000" w:rsidR="00000000" w:rsidRPr="00000000">
        <w:rPr>
          <w:sz w:val="26"/>
          <w:szCs w:val="26"/>
          <w:rtl w:val="0"/>
        </w:rPr>
        <w:t xml:space="preserve">Lot 4 – Surveying and Strategic Advice</w:t>
      </w:r>
    </w:p>
    <w:p w:rsidR="00000000" w:rsidDel="00000000" w:rsidP="00000000" w:rsidRDefault="00000000" w:rsidRPr="00000000" w14:paraId="000000ED">
      <w:pPr>
        <w:spacing w:after="0" w:before="0" w:line="259" w:lineRule="auto"/>
        <w:rPr>
          <w:rFonts w:ascii="Arial" w:cs="Arial" w:eastAsia="Arial" w:hAnsi="Arial"/>
          <w:b w:val="1"/>
          <w:bCs w:val="1"/>
          <w:sz w:val="20"/>
          <w:szCs w:val="20"/>
        </w:rPr>
      </w:pPr>
      <w:r w:rsidDel="00000000" w:rsidR="00000000" w:rsidRPr="00000000">
        <w:rPr>
          <w:rtl w:val="0"/>
        </w:rPr>
      </w:r>
    </w:p>
    <w:p w:rsidR="00000000" w:rsidDel="00000000" w:rsidP="00000000" w:rsidRDefault="00000000" w:rsidRPr="00000000" w14:paraId="000000EE">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Provision of surveys, studies and strategic advice to support the occupation of the government estate, providing technical due diligence where required.</w:t>
      </w:r>
    </w:p>
    <w:p w:rsidR="00000000" w:rsidDel="00000000" w:rsidP="00000000" w:rsidRDefault="00000000" w:rsidRPr="00000000" w14:paraId="000000EF">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0F0">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3"/>
      <w:r w:rsidDel="00000000" w:rsidR="00000000" w:rsidRPr="00000000">
        <w:rPr>
          <w:rFonts w:ascii="Arial" w:cs="Arial" w:eastAsia="Arial" w:hAnsi="Arial"/>
          <w:sz w:val="20"/>
          <w:szCs w:val="20"/>
          <w:highlight w:val="green"/>
          <w:rtl w:val="0"/>
        </w:rPr>
        <w:t xml:space="preserve">RM6343 - Framework Schedule 1 - Specification</w:t>
      </w:r>
      <w:commentRangeEnd w:id="3"/>
      <w:r w:rsidDel="00000000" w:rsidR="00000000" w:rsidRPr="00000000">
        <w:commentReference w:id="3"/>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p w:rsidR="00000000" w:rsidDel="00000000" w:rsidP="00000000" w:rsidRDefault="00000000" w:rsidRPr="00000000" w14:paraId="000000F1">
      <w:pPr>
        <w:spacing w:after="200" w:before="200" w:line="240" w:lineRule="auto"/>
        <w:ind w:left="850" w:right="0" w:firstLine="0"/>
        <w:rPr>
          <w:rFonts w:ascii="Arial" w:cs="Arial" w:eastAsia="Arial" w:hAnsi="Arial"/>
          <w:sz w:val="20"/>
          <w:szCs w:val="20"/>
          <w:highlight w:val="green"/>
        </w:rPr>
      </w:pPr>
      <w:r w:rsidDel="00000000" w:rsidR="00000000" w:rsidRPr="00000000">
        <w:rPr>
          <w:rtl w:val="0"/>
        </w:rPr>
      </w:r>
    </w:p>
    <w:tbl>
      <w:tblPr>
        <w:tblStyle w:val="Table4"/>
        <w:tblW w:w="9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2205"/>
        <w:gridCol w:w="5850"/>
        <w:tblGridChange w:id="0">
          <w:tblGrid>
            <w:gridCol w:w="1335"/>
            <w:gridCol w:w="2205"/>
            <w:gridCol w:w="5850"/>
          </w:tblGrid>
        </w:tblGridChange>
      </w:tblGrid>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2">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Service Line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3">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4">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The Supplier shall provide the following Services, acting on behalf of the Buyer either as a landlord or tenant, which include, but are not limited to:</w:t>
            </w:r>
          </w:p>
          <w:p w:rsidR="00000000" w:rsidDel="00000000" w:rsidP="00000000" w:rsidRDefault="00000000" w:rsidRPr="00000000" w14:paraId="000000F5">
            <w:pPr>
              <w:spacing w:after="200" w:before="0" w:lineRule="auto"/>
              <w:jc w:val="center"/>
              <w:rPr>
                <w:rFonts w:ascii="Arial" w:cs="Arial" w:eastAsia="Arial" w:hAnsi="Arial"/>
                <w:b w:val="1"/>
                <w:bCs w:val="1"/>
                <w:sz w:val="20"/>
                <w:szCs w:val="20"/>
              </w:rPr>
            </w:pPr>
            <w:r w:rsidDel="00000000" w:rsidR="00000000" w:rsidRPr="00000000">
              <w:rPr>
                <w:rtl w:val="0"/>
              </w:rPr>
            </w:r>
          </w:p>
        </w:tc>
      </w:tr>
      <w:tr>
        <w:trPr>
          <w:cantSplit w:val="0"/>
          <w:trHeight w:val="1425"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F6">
            <w:pPr>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Example</w:t>
            </w:r>
          </w:p>
          <w:p w:rsidR="00000000" w:rsidDel="00000000" w:rsidP="00000000" w:rsidRDefault="00000000" w:rsidRPr="00000000" w14:paraId="000000F7">
            <w:pPr>
              <w:spacing w:after="200" w:before="0" w:lineRule="auto"/>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4.01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F8">
            <w:pPr>
              <w:spacing w:after="200" w:before="0" w:lineRule="auto"/>
              <w:rPr>
                <w:rFonts w:ascii="Arial" w:cs="Arial" w:eastAsia="Arial" w:hAnsi="Arial"/>
                <w:b w:val="1"/>
                <w:bCs w:val="1"/>
                <w:sz w:val="20"/>
                <w:szCs w:val="20"/>
                <w:highlight w:val="green"/>
              </w:rPr>
            </w:pPr>
            <w:r w:rsidDel="00000000" w:rsidR="00000000" w:rsidRPr="00000000">
              <w:rPr>
                <w:rFonts w:ascii="Arial" w:cs="Arial" w:eastAsia="Arial" w:hAnsi="Arial"/>
                <w:b w:val="1"/>
                <w:bCs w:val="1"/>
                <w:sz w:val="20"/>
                <w:szCs w:val="20"/>
                <w:highlight w:val="green"/>
                <w:rtl w:val="0"/>
              </w:rPr>
              <w:t xml:space="preserve">Development surveys, studies &amp; strategy</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F9">
            <w:pPr>
              <w:spacing w:after="200" w:before="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Access appraisals</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A">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B">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C">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D">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E">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F">
            <w:pPr>
              <w:spacing w:after="200" w:before="0" w:lineRule="auto"/>
              <w:rPr>
                <w:rFonts w:ascii="Arial" w:cs="Arial" w:eastAsia="Arial" w:hAnsi="Arial"/>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1">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2">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3">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4">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5">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6">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7">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8">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9">
            <w:pPr>
              <w:spacing w:after="200" w:before="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A">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B">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0C">
      <w:pPr>
        <w:spacing w:after="0" w:before="0" w:line="259"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D">
      <w:pPr>
        <w:spacing w:after="0" w:before="0" w:line="259"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E">
      <w:pPr>
        <w:rPr>
          <w:rFonts w:ascii="Arial" w:cs="Arial" w:eastAsia="Arial" w:hAnsi="Arial"/>
          <w:sz w:val="20"/>
          <w:szCs w:val="20"/>
        </w:rPr>
      </w:pPr>
      <w:r w:rsidDel="00000000" w:rsidR="00000000" w:rsidRPr="00000000">
        <w:rPr>
          <w:rFonts w:ascii="Arial" w:cs="Arial" w:eastAsia="Arial" w:hAnsi="Arial"/>
          <w:sz w:val="20"/>
          <w:szCs w:val="20"/>
          <w:rtl w:val="0"/>
        </w:rPr>
        <w:t xml:space="preserve">4.3.</w:t>
        <w:tab/>
        <w:t xml:space="preserve">Services should be delivered to the appropriate RICS standards, guidance or practises as currently published.</w:t>
      </w:r>
    </w:p>
    <w:p w:rsidR="00000000" w:rsidDel="00000000" w:rsidP="00000000" w:rsidRDefault="00000000" w:rsidRPr="00000000" w14:paraId="0000010F">
      <w:pPr>
        <w:spacing w:after="200" w:before="200" w:line="240" w:lineRule="auto"/>
        <w:r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110">
      <w:pPr>
        <w:pStyle w:val="Heading2"/>
        <w:numPr>
          <w:ilvl w:val="0"/>
          <w:numId w:val="1"/>
        </w:numPr>
        <w:tabs>
          <w:tab w:val="left" w:leader="none" w:pos="420"/>
        </w:tabs>
        <w:ind w:left="850" w:right="0" w:hanging="566"/>
        <w:rPr/>
      </w:pPr>
      <w:r w:rsidDel="00000000" w:rsidR="00000000" w:rsidRPr="00000000">
        <w:rPr>
          <w:sz w:val="26"/>
          <w:szCs w:val="26"/>
          <w:rtl w:val="0"/>
        </w:rPr>
        <w:t xml:space="preserve">Lot 5 - Valuation and Compulsory Purchase Orders</w:t>
      </w:r>
    </w:p>
    <w:p w:rsidR="00000000" w:rsidDel="00000000" w:rsidP="00000000" w:rsidRDefault="00000000" w:rsidRPr="00000000" w14:paraId="00000111">
      <w:pPr>
        <w:spacing w:after="0" w:before="0" w:line="259" w:lineRule="auto"/>
        <w:rPr>
          <w:rFonts w:ascii="Arial" w:cs="Arial" w:eastAsia="Arial" w:hAnsi="Arial"/>
          <w:b w:val="1"/>
          <w:bCs w:val="1"/>
          <w:sz w:val="20"/>
          <w:szCs w:val="20"/>
        </w:rPr>
      </w:pPr>
      <w:r w:rsidDel="00000000" w:rsidR="00000000" w:rsidRPr="00000000">
        <w:rPr>
          <w:rtl w:val="0"/>
        </w:rPr>
      </w:r>
    </w:p>
    <w:p w:rsidR="00000000" w:rsidDel="00000000" w:rsidP="00000000" w:rsidRDefault="00000000" w:rsidRPr="00000000" w14:paraId="00000112">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Valuation of built, physical, mechanical and electrical assets ranging from desktop to RICS Valuation - Global Standards (“Red Book”) methodologies to comply with IFRS, RICS or departmental internal accounting procedures and compliance for the government estate, including Services to support compulsory purchase orders.</w:t>
      </w:r>
    </w:p>
    <w:p w:rsidR="00000000" w:rsidDel="00000000" w:rsidP="00000000" w:rsidRDefault="00000000" w:rsidRPr="00000000" w14:paraId="00000113">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114">
      <w:pPr>
        <w:shd w:fill="ffffff" w:val="clear"/>
        <w:tabs>
          <w:tab w:val="left" w:leader="none" w:pos="1218"/>
        </w:tabs>
        <w:ind w:left="0" w:right="0" w:firstLine="0"/>
        <w:jc w:val="both"/>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4"/>
      <w:r w:rsidDel="00000000" w:rsidR="00000000" w:rsidRPr="00000000">
        <w:rPr>
          <w:rFonts w:ascii="Arial" w:cs="Arial" w:eastAsia="Arial" w:hAnsi="Arial"/>
          <w:sz w:val="20"/>
          <w:szCs w:val="20"/>
          <w:highlight w:val="green"/>
          <w:rtl w:val="0"/>
        </w:rPr>
        <w:t xml:space="preserve">RM6343 - Framework Schedule 1 - Specification</w:t>
      </w:r>
      <w:commentRangeEnd w:id="4"/>
      <w:r w:rsidDel="00000000" w:rsidR="00000000" w:rsidRPr="00000000">
        <w:commentReference w:id="4"/>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p w:rsidR="00000000" w:rsidDel="00000000" w:rsidP="00000000" w:rsidRDefault="00000000" w:rsidRPr="00000000" w14:paraId="00000115">
      <w:pPr>
        <w:spacing w:after="200" w:before="200" w:line="240" w:lineRule="auto"/>
        <w:ind w:left="850" w:right="0" w:firstLine="0"/>
        <w:rPr>
          <w:rFonts w:ascii="Arial" w:cs="Arial" w:eastAsia="Arial" w:hAnsi="Arial"/>
          <w:sz w:val="20"/>
          <w:szCs w:val="20"/>
          <w:highlight w:val="green"/>
        </w:rPr>
      </w:pPr>
      <w:r w:rsidDel="00000000" w:rsidR="00000000" w:rsidRPr="00000000">
        <w:rPr>
          <w:rtl w:val="0"/>
        </w:rPr>
      </w:r>
    </w:p>
    <w:tbl>
      <w:tblPr>
        <w:tblStyle w:val="Table5"/>
        <w:tblW w:w="9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2205"/>
        <w:gridCol w:w="5850"/>
        <w:tblGridChange w:id="0">
          <w:tblGrid>
            <w:gridCol w:w="1335"/>
            <w:gridCol w:w="2205"/>
            <w:gridCol w:w="5850"/>
          </w:tblGrid>
        </w:tblGridChange>
      </w:tblGrid>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6">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Service Line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7">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8">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The Supplier shall provide the following Services, acting on behalf of the Buyer either as a landlord or tenant, which include, but are not limited to:</w:t>
            </w:r>
          </w:p>
          <w:p w:rsidR="00000000" w:rsidDel="00000000" w:rsidP="00000000" w:rsidRDefault="00000000" w:rsidRPr="00000000" w14:paraId="00000119">
            <w:pPr>
              <w:spacing w:after="200" w:before="0" w:lineRule="auto"/>
              <w:jc w:val="center"/>
              <w:rPr>
                <w:rFonts w:ascii="Arial" w:cs="Arial" w:eastAsia="Arial" w:hAnsi="Arial"/>
                <w:b w:val="1"/>
                <w:bCs w:val="1"/>
                <w:sz w:val="20"/>
                <w:szCs w:val="20"/>
              </w:rPr>
            </w:pPr>
            <w:r w:rsidDel="00000000" w:rsidR="00000000" w:rsidRPr="00000000">
              <w:rPr>
                <w:rtl w:val="0"/>
              </w:rPr>
            </w:r>
          </w:p>
        </w:tc>
      </w:tr>
      <w:tr>
        <w:trPr>
          <w:cantSplit w:val="0"/>
          <w:trHeight w:val="1425"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1A">
            <w:pPr>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Example</w:t>
            </w:r>
          </w:p>
          <w:p w:rsidR="00000000" w:rsidDel="00000000" w:rsidP="00000000" w:rsidRDefault="00000000" w:rsidRPr="00000000" w14:paraId="0000011B">
            <w:pPr>
              <w:spacing w:after="200" w:before="0" w:lineRule="auto"/>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5.01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1C">
            <w:pPr>
              <w:spacing w:after="200" w:before="0" w:lineRule="auto"/>
              <w:rPr>
                <w:rFonts w:ascii="Arial" w:cs="Arial" w:eastAsia="Arial" w:hAnsi="Arial"/>
                <w:b w:val="1"/>
                <w:bCs w:val="1"/>
                <w:sz w:val="20"/>
                <w:szCs w:val="20"/>
                <w:highlight w:val="green"/>
              </w:rPr>
            </w:pPr>
            <w:r w:rsidDel="00000000" w:rsidR="00000000" w:rsidRPr="00000000">
              <w:rPr>
                <w:rFonts w:ascii="Arial" w:cs="Arial" w:eastAsia="Arial" w:hAnsi="Arial"/>
                <w:b w:val="1"/>
                <w:bCs w:val="1"/>
                <w:sz w:val="20"/>
                <w:szCs w:val="20"/>
                <w:highlight w:val="green"/>
                <w:rtl w:val="0"/>
              </w:rPr>
              <w:t xml:space="preserve">Valuation</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1D">
            <w:pPr>
              <w:spacing w:after="200" w:before="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Valuations to be carried out fully in accordance with the latest edition of the RICS Valuation - Global Standards (“Red Book”) and any of the Buyer’s accounting guidelines, as superseded or replaced. </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F">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0">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2">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3">
            <w:pPr>
              <w:spacing w:after="200" w:before="0" w:lineRule="auto"/>
              <w:rPr>
                <w:rFonts w:ascii="Arial" w:cs="Arial" w:eastAsia="Arial" w:hAnsi="Arial"/>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4">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6">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7">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8">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9">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B">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C">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D">
            <w:pPr>
              <w:spacing w:after="200" w:before="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F">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30">
      <w:pPr>
        <w:spacing w:after="0" w:before="0" w:line="259" w:lineRule="auto"/>
        <w:jc w:val="both"/>
        <w:rPr>
          <w:sz w:val="20"/>
          <w:szCs w:val="20"/>
        </w:rPr>
      </w:pPr>
      <w:r w:rsidDel="00000000" w:rsidR="00000000" w:rsidRPr="00000000">
        <w:rPr>
          <w:rtl w:val="0"/>
        </w:rPr>
      </w:r>
    </w:p>
    <w:p w:rsidR="00000000" w:rsidDel="00000000" w:rsidP="00000000" w:rsidRDefault="00000000" w:rsidRPr="00000000" w14:paraId="00000131">
      <w:pPr>
        <w:spacing w:after="160" w:before="0" w:line="259" w:lineRule="auto"/>
        <w:rPr>
          <w:sz w:val="20"/>
          <w:szCs w:val="20"/>
        </w:rPr>
      </w:pPr>
      <w:r w:rsidDel="00000000" w:rsidR="00000000" w:rsidRPr="00000000">
        <w:rPr>
          <w:rtl w:val="0"/>
        </w:rPr>
      </w:r>
    </w:p>
    <w:p w:rsidR="00000000" w:rsidDel="00000000" w:rsidP="00000000" w:rsidRDefault="00000000" w:rsidRPr="00000000" w14:paraId="00000132">
      <w:pPr>
        <w:numPr>
          <w:ilvl w:val="1"/>
          <w:numId w:val="1"/>
        </w:numPr>
        <w:shd w:fill="ffffff" w:val="clear"/>
        <w:tabs>
          <w:tab w:val="left" w:leader="none" w:pos="1218"/>
        </w:tabs>
        <w:spacing w:after="0" w:before="0" w:line="240" w:lineRule="auto"/>
        <w:ind w:left="850" w:right="0" w:hanging="566"/>
        <w:jc w:val="both"/>
        <w:rPr/>
      </w:pPr>
      <w:r w:rsidDel="00000000" w:rsidR="00000000" w:rsidRPr="00000000">
        <w:rPr>
          <w:rFonts w:ascii="Arial" w:cs="Arial" w:eastAsia="Arial" w:hAnsi="Arial"/>
          <w:sz w:val="20"/>
          <w:szCs w:val="20"/>
          <w:rtl w:val="0"/>
        </w:rPr>
        <w:t xml:space="preserve">Services should be delivered to the appropriate RICS standards, guidance or practises as currently published.</w:t>
      </w:r>
    </w:p>
    <w:p w:rsidR="00000000" w:rsidDel="00000000" w:rsidP="00000000" w:rsidRDefault="00000000" w:rsidRPr="00000000" w14:paraId="00000133">
      <w:pPr>
        <w:shd w:fill="ffffff" w:val="clear"/>
        <w:tabs>
          <w:tab w:val="left" w:leader="none" w:pos="1218"/>
        </w:tabs>
        <w:spacing w:after="0" w:before="0" w:line="240"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4">
      <w:pPr>
        <w:spacing w:after="200" w:before="200" w:line="240" w:lineRule="auto"/>
        <w:r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135">
      <w:pPr>
        <w:pStyle w:val="Heading2"/>
        <w:numPr>
          <w:ilvl w:val="0"/>
          <w:numId w:val="1"/>
        </w:numPr>
        <w:tabs>
          <w:tab w:val="left" w:leader="none" w:pos="420"/>
        </w:tabs>
        <w:ind w:left="850" w:right="0" w:hanging="566"/>
        <w:rPr/>
      </w:pPr>
      <w:r w:rsidDel="00000000" w:rsidR="00000000" w:rsidRPr="00000000">
        <w:rPr>
          <w:sz w:val="26"/>
          <w:szCs w:val="26"/>
          <w:rtl w:val="0"/>
        </w:rPr>
        <w:t xml:space="preserve">Lot 6 - Business Rating Services</w:t>
      </w:r>
    </w:p>
    <w:p w:rsidR="00000000" w:rsidDel="00000000" w:rsidP="00000000" w:rsidRDefault="00000000" w:rsidRPr="00000000" w14:paraId="00000136">
      <w:pPr>
        <w:spacing w:after="0" w:before="0" w:line="259" w:lineRule="auto"/>
        <w:rPr>
          <w:rFonts w:ascii="Arial" w:cs="Arial" w:eastAsia="Arial" w:hAnsi="Arial"/>
          <w:b w:val="1"/>
          <w:bCs w:val="1"/>
          <w:sz w:val="20"/>
          <w:szCs w:val="20"/>
        </w:rPr>
      </w:pPr>
      <w:r w:rsidDel="00000000" w:rsidR="00000000" w:rsidRPr="00000000">
        <w:rPr>
          <w:rtl w:val="0"/>
        </w:rPr>
      </w:r>
    </w:p>
    <w:p w:rsidR="00000000" w:rsidDel="00000000" w:rsidP="00000000" w:rsidRDefault="00000000" w:rsidRPr="00000000" w14:paraId="00000137">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Provision of rating support (Inc. payment) and rating appeal services as per Check, Challenge &amp; Appeal process for England, Scotland and Wales and the rateable value services for Wales, Scotland and Northern Ireland for central government and wider public sector estate.</w:t>
      </w:r>
    </w:p>
    <w:p w:rsidR="00000000" w:rsidDel="00000000" w:rsidP="00000000" w:rsidRDefault="00000000" w:rsidRPr="00000000" w14:paraId="00000138">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139">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5"/>
      <w:r w:rsidDel="00000000" w:rsidR="00000000" w:rsidRPr="00000000">
        <w:rPr>
          <w:rFonts w:ascii="Arial" w:cs="Arial" w:eastAsia="Arial" w:hAnsi="Arial"/>
          <w:sz w:val="20"/>
          <w:szCs w:val="20"/>
          <w:highlight w:val="green"/>
          <w:rtl w:val="0"/>
        </w:rPr>
        <w:t xml:space="preserve">RM6343 - Framework Schedule 1 - Specification</w:t>
      </w:r>
      <w:commentRangeEnd w:id="5"/>
      <w:r w:rsidDel="00000000" w:rsidR="00000000" w:rsidRPr="00000000">
        <w:commentReference w:id="5"/>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p w:rsidR="00000000" w:rsidDel="00000000" w:rsidP="00000000" w:rsidRDefault="00000000" w:rsidRPr="00000000" w14:paraId="0000013A">
      <w:pPr>
        <w:spacing w:after="200" w:before="200" w:line="240" w:lineRule="auto"/>
        <w:ind w:left="850" w:right="0" w:firstLine="0"/>
        <w:rPr>
          <w:rFonts w:ascii="Arial" w:cs="Arial" w:eastAsia="Arial" w:hAnsi="Arial"/>
          <w:sz w:val="20"/>
          <w:szCs w:val="20"/>
          <w:highlight w:val="green"/>
        </w:rPr>
      </w:pPr>
      <w:r w:rsidDel="00000000" w:rsidR="00000000" w:rsidRPr="00000000">
        <w:rPr>
          <w:rtl w:val="0"/>
        </w:rPr>
      </w:r>
    </w:p>
    <w:tbl>
      <w:tblPr>
        <w:tblStyle w:val="Table6"/>
        <w:tblW w:w="9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2205"/>
        <w:gridCol w:w="5850"/>
        <w:tblGridChange w:id="0">
          <w:tblGrid>
            <w:gridCol w:w="1335"/>
            <w:gridCol w:w="2205"/>
            <w:gridCol w:w="5850"/>
          </w:tblGrid>
        </w:tblGridChange>
      </w:tblGrid>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B">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Service Line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C">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D">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The Supplier shall provide the following Services, acting on behalf of the Buyer either as a landlord or tenant, which include, but are not limited to:</w:t>
            </w:r>
          </w:p>
          <w:p w:rsidR="00000000" w:rsidDel="00000000" w:rsidP="00000000" w:rsidRDefault="00000000" w:rsidRPr="00000000" w14:paraId="0000013E">
            <w:pPr>
              <w:spacing w:after="200" w:before="0" w:lineRule="auto"/>
              <w:jc w:val="center"/>
              <w:rPr>
                <w:rFonts w:ascii="Arial" w:cs="Arial" w:eastAsia="Arial" w:hAnsi="Arial"/>
                <w:b w:val="1"/>
                <w:bCs w:val="1"/>
                <w:sz w:val="20"/>
                <w:szCs w:val="20"/>
              </w:rPr>
            </w:pPr>
            <w:r w:rsidDel="00000000" w:rsidR="00000000" w:rsidRPr="00000000">
              <w:rPr>
                <w:rtl w:val="0"/>
              </w:rPr>
            </w:r>
          </w:p>
        </w:tc>
      </w:tr>
      <w:tr>
        <w:trPr>
          <w:cantSplit w:val="0"/>
          <w:trHeight w:val="1425"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3F">
            <w:pPr>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Example</w:t>
            </w:r>
          </w:p>
          <w:p w:rsidR="00000000" w:rsidDel="00000000" w:rsidP="00000000" w:rsidRDefault="00000000" w:rsidRPr="00000000" w14:paraId="00000140">
            <w:pPr>
              <w:spacing w:after="200" w:before="0" w:lineRule="auto"/>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6.01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41">
            <w:pPr>
              <w:spacing w:after="200" w:before="0" w:lineRule="auto"/>
              <w:rPr>
                <w:rFonts w:ascii="Arial" w:cs="Arial" w:eastAsia="Arial" w:hAnsi="Arial"/>
                <w:b w:val="1"/>
                <w:bCs w:val="1"/>
                <w:sz w:val="20"/>
                <w:szCs w:val="20"/>
                <w:highlight w:val="green"/>
              </w:rPr>
            </w:pPr>
            <w:r w:rsidDel="00000000" w:rsidR="00000000" w:rsidRPr="00000000">
              <w:rPr>
                <w:rFonts w:ascii="Arial" w:cs="Arial" w:eastAsia="Arial" w:hAnsi="Arial"/>
                <w:b w:val="1"/>
                <w:bCs w:val="1"/>
                <w:sz w:val="20"/>
                <w:szCs w:val="20"/>
                <w:highlight w:val="green"/>
                <w:rtl w:val="0"/>
              </w:rPr>
              <w:t xml:space="preserve">General administration</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42">
            <w:pPr>
              <w:spacing w:after="200" w:before="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Provide professional advice, guidance and assistance on domestic or non-domestic rating issues, including a proactive strategy to mitigate liabilities arising from new properties or alterations to existing premises.</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3">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4">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5">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6">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7">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8">
            <w:pPr>
              <w:spacing w:after="200" w:before="0" w:lineRule="auto"/>
              <w:rPr>
                <w:rFonts w:ascii="Arial" w:cs="Arial" w:eastAsia="Arial" w:hAnsi="Arial"/>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9">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A">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B">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C">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D">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E">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F">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0">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1">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2">
            <w:pPr>
              <w:spacing w:after="200" w:before="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3">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4">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55">
      <w:pPr>
        <w:spacing w:after="0" w:before="0" w:line="259" w:lineRule="auto"/>
        <w:jc w:val="both"/>
        <w:rPr>
          <w:rFonts w:ascii="Arial" w:cs="Arial" w:eastAsia="Arial" w:hAnsi="Arial"/>
          <w:sz w:val="20"/>
          <w:szCs w:val="20"/>
          <w:highlight w:val="green"/>
        </w:rPr>
      </w:pPr>
      <w:r w:rsidDel="00000000" w:rsidR="00000000" w:rsidRPr="00000000">
        <w:rPr>
          <w:rtl w:val="0"/>
        </w:rPr>
      </w:r>
    </w:p>
    <w:p w:rsidR="00000000" w:rsidDel="00000000" w:rsidP="00000000" w:rsidRDefault="00000000" w:rsidRPr="00000000" w14:paraId="00000156">
      <w:pPr>
        <w:spacing w:after="160" w:before="0" w:line="259" w:lineRule="auto"/>
        <w:rPr>
          <w:sz w:val="20"/>
          <w:szCs w:val="20"/>
        </w:rPr>
      </w:pPr>
      <w:r w:rsidDel="00000000" w:rsidR="00000000" w:rsidRPr="00000000">
        <w:rPr>
          <w:rtl w:val="0"/>
        </w:rPr>
      </w:r>
    </w:p>
    <w:p w:rsidR="00000000" w:rsidDel="00000000" w:rsidP="00000000" w:rsidRDefault="00000000" w:rsidRPr="00000000" w14:paraId="00000157">
      <w:pPr>
        <w:rPr>
          <w:rFonts w:ascii="Arial" w:cs="Arial" w:eastAsia="Arial" w:hAnsi="Arial"/>
          <w:sz w:val="20"/>
          <w:szCs w:val="20"/>
        </w:rPr>
      </w:pPr>
      <w:r w:rsidDel="00000000" w:rsidR="00000000" w:rsidRPr="00000000">
        <w:rPr>
          <w:rFonts w:ascii="Arial" w:cs="Arial" w:eastAsia="Arial" w:hAnsi="Arial"/>
          <w:sz w:val="20"/>
          <w:szCs w:val="20"/>
          <w:rtl w:val="0"/>
        </w:rPr>
        <w:t xml:space="preserve">6.3.</w:t>
        <w:tab/>
        <w:t xml:space="preserve">Services should be delivered to the appropriate RICS standards, guidance or practises as currently published.</w:t>
      </w:r>
    </w:p>
    <w:p w:rsidR="00000000" w:rsidDel="00000000" w:rsidP="00000000" w:rsidRDefault="00000000" w:rsidRPr="00000000" w14:paraId="00000158">
      <w:pPr>
        <w:spacing w:after="200" w:before="200" w:line="240" w:lineRule="auto"/>
        <w:r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159">
      <w:pPr>
        <w:pStyle w:val="Heading2"/>
        <w:numPr>
          <w:ilvl w:val="0"/>
          <w:numId w:val="1"/>
        </w:numPr>
        <w:tabs>
          <w:tab w:val="left" w:leader="none" w:pos="420"/>
        </w:tabs>
        <w:ind w:left="850" w:right="0" w:hanging="566"/>
        <w:rPr/>
      </w:pPr>
      <w:r w:rsidDel="00000000" w:rsidR="00000000" w:rsidRPr="00000000">
        <w:rPr>
          <w:sz w:val="26"/>
          <w:szCs w:val="26"/>
          <w:rtl w:val="0"/>
        </w:rPr>
        <w:t xml:space="preserve">Lot 7 – Workplace Services Performance Partner</w:t>
      </w:r>
    </w:p>
    <w:p w:rsidR="00000000" w:rsidDel="00000000" w:rsidP="00000000" w:rsidRDefault="00000000" w:rsidRPr="00000000" w14:paraId="0000015A">
      <w:pPr>
        <w:spacing w:after="0" w:before="0" w:line="259"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B">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The purpose of the Workplace Services Performance Partner (WSPP) Lot is to allow the Buyer to develop a single point of contact (In-house under the light option or service delivery partner under the full Integrator option) to instruct and monitor the provision of those Services delivered by third party suppliers, and to facilitate asset, building and property data and management information to enable the Buyer to make informed decisions to support capital investment, estate strategy and cost/resource optimisation.</w:t>
      </w:r>
    </w:p>
    <w:p w:rsidR="00000000" w:rsidDel="00000000" w:rsidP="00000000" w:rsidRDefault="00000000" w:rsidRPr="00000000" w14:paraId="0000015C">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15D">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6"/>
      <w:r w:rsidDel="00000000" w:rsidR="00000000" w:rsidRPr="00000000">
        <w:rPr>
          <w:rFonts w:ascii="Arial" w:cs="Arial" w:eastAsia="Arial" w:hAnsi="Arial"/>
          <w:sz w:val="20"/>
          <w:szCs w:val="20"/>
          <w:highlight w:val="green"/>
          <w:rtl w:val="0"/>
        </w:rPr>
        <w:t xml:space="preserve">RM6343 - Framework Schedule 1 - Specification</w:t>
      </w:r>
      <w:commentRangeEnd w:id="6"/>
      <w:r w:rsidDel="00000000" w:rsidR="00000000" w:rsidRPr="00000000">
        <w:commentReference w:id="6"/>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p w:rsidR="00000000" w:rsidDel="00000000" w:rsidP="00000000" w:rsidRDefault="00000000" w:rsidRPr="00000000" w14:paraId="0000015E">
      <w:pPr>
        <w:spacing w:after="200" w:before="200" w:line="240" w:lineRule="auto"/>
        <w:ind w:left="850" w:right="0" w:firstLine="0"/>
        <w:rPr>
          <w:rFonts w:ascii="Arial" w:cs="Arial" w:eastAsia="Arial" w:hAnsi="Arial"/>
          <w:sz w:val="20"/>
          <w:szCs w:val="20"/>
          <w:highlight w:val="green"/>
        </w:rPr>
      </w:pPr>
      <w:r w:rsidDel="00000000" w:rsidR="00000000" w:rsidRPr="00000000">
        <w:rPr>
          <w:rtl w:val="0"/>
        </w:rPr>
      </w:r>
    </w:p>
    <w:tbl>
      <w:tblPr>
        <w:tblStyle w:val="Table7"/>
        <w:tblW w:w="9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2205"/>
        <w:gridCol w:w="5850"/>
        <w:tblGridChange w:id="0">
          <w:tblGrid>
            <w:gridCol w:w="1335"/>
            <w:gridCol w:w="2205"/>
            <w:gridCol w:w="5850"/>
          </w:tblGrid>
        </w:tblGridChange>
      </w:tblGrid>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F">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Service Line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0">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1">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The Supplier shall provide the following Services, acting on behalf of the Buyer either as a landlord or tenant, which include, but are not limited to:</w:t>
            </w:r>
          </w:p>
          <w:p w:rsidR="00000000" w:rsidDel="00000000" w:rsidP="00000000" w:rsidRDefault="00000000" w:rsidRPr="00000000" w14:paraId="00000162">
            <w:pPr>
              <w:spacing w:after="200" w:before="0" w:lineRule="auto"/>
              <w:jc w:val="center"/>
              <w:rPr>
                <w:rFonts w:ascii="Arial" w:cs="Arial" w:eastAsia="Arial" w:hAnsi="Arial"/>
                <w:b w:val="1"/>
                <w:bCs w:val="1"/>
                <w:sz w:val="20"/>
                <w:szCs w:val="20"/>
              </w:rPr>
            </w:pPr>
            <w:r w:rsidDel="00000000" w:rsidR="00000000" w:rsidRPr="00000000">
              <w:rPr>
                <w:rtl w:val="0"/>
              </w:rPr>
            </w:r>
          </w:p>
        </w:tc>
      </w:tr>
      <w:tr>
        <w:trPr>
          <w:cantSplit w:val="0"/>
          <w:trHeight w:val="1425"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63">
            <w:pPr>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Example</w:t>
            </w:r>
          </w:p>
          <w:p w:rsidR="00000000" w:rsidDel="00000000" w:rsidP="00000000" w:rsidRDefault="00000000" w:rsidRPr="00000000" w14:paraId="00000164">
            <w:pPr>
              <w:spacing w:after="200" w:before="0" w:lineRule="auto"/>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7.01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65">
            <w:pPr>
              <w:spacing w:after="200" w:before="0" w:lineRule="auto"/>
              <w:rPr>
                <w:rFonts w:ascii="Arial" w:cs="Arial" w:eastAsia="Arial" w:hAnsi="Arial"/>
                <w:b w:val="1"/>
                <w:bCs w:val="1"/>
                <w:sz w:val="20"/>
                <w:szCs w:val="20"/>
                <w:highlight w:val="green"/>
              </w:rPr>
            </w:pPr>
            <w:r w:rsidDel="00000000" w:rsidR="00000000" w:rsidRPr="00000000">
              <w:rPr>
                <w:rFonts w:ascii="Arial" w:cs="Arial" w:eastAsia="Arial" w:hAnsi="Arial"/>
                <w:b w:val="1"/>
                <w:bCs w:val="1"/>
                <w:sz w:val="20"/>
                <w:szCs w:val="20"/>
                <w:highlight w:val="green"/>
                <w:rtl w:val="0"/>
              </w:rPr>
              <w:t xml:space="preserve">System - support operational and strategic Workplace Management as configured to the Buyer’s requirements and shall provide the required IT systems, application hosting, implementation, training, support and security for the management of the Services.</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66">
            <w:pPr>
              <w:spacing w:after="200" w:before="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Functional requirements - configure the System to the Buyer requirements which shall be the focus of the delivery of the Workplace Management Services via task or work orders, providing an interface and or integration with all associated systems used across the Buyer estate to provide a single, all-encompassing view.</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7">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8">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9">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A">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B">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C">
            <w:pPr>
              <w:spacing w:after="200" w:before="0" w:lineRule="auto"/>
              <w:rPr>
                <w:rFonts w:ascii="Arial" w:cs="Arial" w:eastAsia="Arial" w:hAnsi="Arial"/>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D">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E">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F">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0">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1">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2">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3">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4">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5">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6">
            <w:pPr>
              <w:spacing w:after="200" w:before="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7">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8">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79">
      <w:pPr>
        <w:spacing w:after="0" w:before="0" w:line="259" w:lineRule="auto"/>
        <w:jc w:val="both"/>
        <w:rPr>
          <w:rFonts w:ascii="Arial" w:cs="Arial" w:eastAsia="Arial" w:hAnsi="Arial"/>
          <w:sz w:val="20"/>
          <w:szCs w:val="20"/>
          <w:highlight w:val="green"/>
        </w:rPr>
      </w:pPr>
      <w:r w:rsidDel="00000000" w:rsidR="00000000" w:rsidRPr="00000000">
        <w:rPr>
          <w:rtl w:val="0"/>
        </w:rPr>
      </w:r>
    </w:p>
    <w:p w:rsidR="00000000" w:rsidDel="00000000" w:rsidP="00000000" w:rsidRDefault="00000000" w:rsidRPr="00000000" w14:paraId="0000017A">
      <w:pPr>
        <w:spacing w:after="160" w:before="0" w:line="259" w:lineRule="auto"/>
        <w:rPr>
          <w:sz w:val="20"/>
          <w:szCs w:val="20"/>
        </w:rPr>
      </w:pPr>
      <w:r w:rsidDel="00000000" w:rsidR="00000000" w:rsidRPr="00000000">
        <w:rPr>
          <w:sz w:val="20"/>
          <w:szCs w:val="20"/>
          <w:rtl w:val="0"/>
        </w:rPr>
        <w:tab/>
      </w:r>
    </w:p>
    <w:p w:rsidR="00000000" w:rsidDel="00000000" w:rsidP="00000000" w:rsidRDefault="00000000" w:rsidRPr="00000000" w14:paraId="0000017B">
      <w:pPr>
        <w:numPr>
          <w:ilvl w:val="1"/>
          <w:numId w:val="1"/>
        </w:numPr>
        <w:shd w:fill="ffffff" w:val="clear"/>
        <w:spacing w:after="0" w:before="0" w:line="240" w:lineRule="auto"/>
        <w:ind w:left="850" w:right="0" w:hanging="566"/>
        <w:jc w:val="both"/>
        <w:rPr/>
      </w:pPr>
      <w:r w:rsidDel="00000000" w:rsidR="00000000" w:rsidRPr="00000000">
        <w:rPr>
          <w:rFonts w:ascii="Arial" w:cs="Arial" w:eastAsia="Arial" w:hAnsi="Arial"/>
          <w:sz w:val="20"/>
          <w:szCs w:val="20"/>
          <w:rtl w:val="0"/>
        </w:rPr>
        <w:t xml:space="preserve">Services should be delivered to the appropriate RICS standards, guidance or practises as currently published.</w:t>
      </w:r>
    </w:p>
    <w:p w:rsidR="00000000" w:rsidDel="00000000" w:rsidP="00000000" w:rsidRDefault="00000000" w:rsidRPr="00000000" w14:paraId="0000017C">
      <w:pPr>
        <w:shd w:fill="ffffff" w:val="clear"/>
        <w:spacing w:after="0" w:before="0" w:line="240"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D">
      <w:pPr>
        <w:spacing w:after="200" w:before="200" w:line="240" w:lineRule="auto"/>
        <w:rPr/>
        <w:sectPr>
          <w:headerReference r:id="rId8" w:type="default"/>
          <w:footerReference r:id="rId9" w:type="default"/>
          <w:pgSz w:h="16838" w:w="11906" w:orient="portrait"/>
          <w:pgMar w:bottom="1440" w:top="1440" w:left="1440" w:right="1440" w:header="708" w:footer="708"/>
          <w:pgNumType w:start="1"/>
        </w:sect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rPr>
          <w:rtl w:val="0"/>
        </w:rPr>
      </w:r>
    </w:p>
    <w:p w:rsidR="00000000" w:rsidDel="00000000" w:rsidP="00000000" w:rsidRDefault="00000000" w:rsidRPr="00000000" w14:paraId="0000017E">
      <w:pPr>
        <w:pStyle w:val="Heading2"/>
        <w:numPr>
          <w:ilvl w:val="0"/>
          <w:numId w:val="1"/>
        </w:numPr>
        <w:tabs>
          <w:tab w:val="left" w:leader="none" w:pos="420"/>
        </w:tabs>
        <w:ind w:left="850" w:right="0" w:hanging="566"/>
        <w:rPr/>
      </w:pPr>
      <w:r w:rsidDel="00000000" w:rsidR="00000000" w:rsidRPr="00000000">
        <w:rPr>
          <w:sz w:val="26"/>
          <w:szCs w:val="26"/>
          <w:rtl w:val="0"/>
        </w:rPr>
        <w:t xml:space="preserve">Lot 8A - PFI Technical and Strategic Advice Services</w:t>
      </w:r>
    </w:p>
    <w:p w:rsidR="00000000" w:rsidDel="00000000" w:rsidP="00000000" w:rsidRDefault="00000000" w:rsidRPr="00000000" w14:paraId="0000017F">
      <w:pPr>
        <w:shd w:fill="ffffff" w:val="clear"/>
        <w:tabs>
          <w:tab w:val="left" w:leader="none" w:pos="1218"/>
        </w:tabs>
        <w:spacing w:after="0" w:before="0" w:line="240" w:lineRule="auto"/>
        <w:ind w:left="36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0">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The purpose of the PFI Technical and Strategic Advice Services Lot is to provide strategic, technical, </w:t>
      </w:r>
      <w:r w:rsidDel="00000000" w:rsidR="00000000" w:rsidRPr="00000000">
        <w:rPr>
          <w:rFonts w:ascii="Arial" w:cs="Arial" w:eastAsia="Arial" w:hAnsi="Arial"/>
          <w:sz w:val="20"/>
          <w:szCs w:val="20"/>
          <w:highlight w:val="white"/>
          <w:rtl w:val="0"/>
        </w:rPr>
        <w:t xml:space="preserve">commercial, project, programme, operational and estates management advice and support, during the operation, expiry and future service delivery of the PFI estate. All services outlined in this framework scope fully support the delivery of standardised processes as defined in Infrastructure Project Authority (IPA) PFI guidance. This excludes legal advice.</w:t>
      </w:r>
      <w:r w:rsidDel="00000000" w:rsidR="00000000" w:rsidRPr="00000000">
        <w:rPr>
          <w:rtl w:val="0"/>
        </w:rPr>
      </w:r>
    </w:p>
    <w:p w:rsidR="00000000" w:rsidDel="00000000" w:rsidP="00000000" w:rsidRDefault="00000000" w:rsidRPr="00000000" w14:paraId="00000181">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182">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7"/>
      <w:r w:rsidDel="00000000" w:rsidR="00000000" w:rsidRPr="00000000">
        <w:rPr>
          <w:rFonts w:ascii="Arial" w:cs="Arial" w:eastAsia="Arial" w:hAnsi="Arial"/>
          <w:sz w:val="20"/>
          <w:szCs w:val="20"/>
          <w:highlight w:val="green"/>
          <w:rtl w:val="0"/>
        </w:rPr>
        <w:t xml:space="preserve">RM6343 - Framework Schedule 1 - Specification</w:t>
      </w:r>
      <w:commentRangeEnd w:id="7"/>
      <w:r w:rsidDel="00000000" w:rsidR="00000000" w:rsidRPr="00000000">
        <w:commentReference w:id="7"/>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p w:rsidR="00000000" w:rsidDel="00000000" w:rsidP="00000000" w:rsidRDefault="00000000" w:rsidRPr="00000000" w14:paraId="00000183">
      <w:pPr>
        <w:spacing w:after="200" w:before="200" w:line="240" w:lineRule="auto"/>
        <w:ind w:left="850" w:right="0" w:firstLine="0"/>
        <w:rPr>
          <w:rFonts w:ascii="Arial" w:cs="Arial" w:eastAsia="Arial" w:hAnsi="Arial"/>
          <w:sz w:val="20"/>
          <w:szCs w:val="20"/>
          <w:highlight w:val="green"/>
        </w:rPr>
      </w:pPr>
      <w:r w:rsidDel="00000000" w:rsidR="00000000" w:rsidRPr="00000000">
        <w:rPr>
          <w:rtl w:val="0"/>
        </w:rPr>
      </w:r>
    </w:p>
    <w:tbl>
      <w:tblPr>
        <w:tblStyle w:val="Table8"/>
        <w:tblW w:w="9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2205"/>
        <w:gridCol w:w="5850"/>
        <w:tblGridChange w:id="0">
          <w:tblGrid>
            <w:gridCol w:w="1335"/>
            <w:gridCol w:w="2205"/>
            <w:gridCol w:w="5850"/>
          </w:tblGrid>
        </w:tblGridChange>
      </w:tblGrid>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4">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Service Line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5">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6">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The Supplier shall provide the following Services, acting on behalf of the Buyer either as a landlord or tenant, which include, but are not limited to:</w:t>
            </w:r>
          </w:p>
          <w:p w:rsidR="00000000" w:rsidDel="00000000" w:rsidP="00000000" w:rsidRDefault="00000000" w:rsidRPr="00000000" w14:paraId="00000187">
            <w:pPr>
              <w:spacing w:after="200" w:before="0" w:lineRule="auto"/>
              <w:jc w:val="center"/>
              <w:rPr>
                <w:rFonts w:ascii="Arial" w:cs="Arial" w:eastAsia="Arial" w:hAnsi="Arial"/>
                <w:b w:val="1"/>
                <w:bCs w:val="1"/>
                <w:sz w:val="20"/>
                <w:szCs w:val="20"/>
              </w:rPr>
            </w:pPr>
            <w:r w:rsidDel="00000000" w:rsidR="00000000" w:rsidRPr="00000000">
              <w:rPr>
                <w:rtl w:val="0"/>
              </w:rPr>
            </w:r>
          </w:p>
        </w:tc>
      </w:tr>
      <w:tr>
        <w:trPr>
          <w:cantSplit w:val="0"/>
          <w:trHeight w:val="1425"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88">
            <w:pPr>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Example</w:t>
            </w:r>
          </w:p>
          <w:p w:rsidR="00000000" w:rsidDel="00000000" w:rsidP="00000000" w:rsidRDefault="00000000" w:rsidRPr="00000000" w14:paraId="00000189">
            <w:pPr>
              <w:spacing w:after="200" w:before="0" w:lineRule="auto"/>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8A.01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8A">
            <w:pPr>
              <w:spacing w:after="200" w:before="0" w:lineRule="auto"/>
              <w:rPr>
                <w:rFonts w:ascii="Arial" w:cs="Arial" w:eastAsia="Arial" w:hAnsi="Arial"/>
                <w:b w:val="1"/>
                <w:bCs w:val="1"/>
                <w:sz w:val="20"/>
                <w:szCs w:val="20"/>
                <w:highlight w:val="green"/>
              </w:rPr>
            </w:pPr>
            <w:r w:rsidDel="00000000" w:rsidR="00000000" w:rsidRPr="00000000">
              <w:rPr>
                <w:rFonts w:ascii="Arial" w:cs="Arial" w:eastAsia="Arial" w:hAnsi="Arial"/>
                <w:b w:val="1"/>
                <w:bCs w:val="1"/>
                <w:sz w:val="20"/>
                <w:szCs w:val="20"/>
                <w:highlight w:val="green"/>
                <w:rtl w:val="0"/>
              </w:rPr>
              <w:t xml:space="preserve">Operational Contract Management</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8B">
            <w:pP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A technical  review and interpretation of the PFI contract , schedules, associated documentation and stakeholders (internal/external) working collaboratively with the PFI Co. The Supplier shall provide a summary of the information, documenting any gaps, ambiguities and/or lack of definition. The review shall include but not be limited to the following documentation:</w:t>
            </w:r>
          </w:p>
          <w:p w:rsidR="00000000" w:rsidDel="00000000" w:rsidP="00000000" w:rsidRDefault="00000000" w:rsidRPr="00000000" w14:paraId="0000018C">
            <w:pPr>
              <w:widowControl w:val="0"/>
              <w:numPr>
                <w:ilvl w:val="0"/>
                <w:numId w:val="5"/>
              </w:numPr>
              <w:spacing w:after="0" w:before="0" w:line="240" w:lineRule="auto"/>
              <w:ind w:left="720" w:right="0" w:hanging="360"/>
              <w:rPr>
                <w:highlight w:val="green"/>
              </w:rPr>
            </w:pPr>
            <w:r w:rsidDel="00000000" w:rsidR="00000000" w:rsidRPr="00000000">
              <w:rPr>
                <w:rFonts w:ascii="Arial" w:cs="Arial" w:eastAsia="Arial" w:hAnsi="Arial"/>
                <w:sz w:val="20"/>
                <w:szCs w:val="20"/>
                <w:highlight w:val="green"/>
                <w:rtl w:val="0"/>
              </w:rPr>
              <w:t xml:space="preserve">Project Agreement</w:t>
            </w:r>
          </w:p>
          <w:p w:rsidR="00000000" w:rsidDel="00000000" w:rsidP="00000000" w:rsidRDefault="00000000" w:rsidRPr="00000000" w14:paraId="0000018D">
            <w:pPr>
              <w:widowControl w:val="0"/>
              <w:numPr>
                <w:ilvl w:val="0"/>
                <w:numId w:val="5"/>
              </w:numPr>
              <w:spacing w:after="0" w:before="0" w:line="240" w:lineRule="auto"/>
              <w:ind w:left="720" w:right="0" w:hanging="360"/>
              <w:rPr>
                <w:highlight w:val="green"/>
              </w:rPr>
            </w:pPr>
            <w:r w:rsidDel="00000000" w:rsidR="00000000" w:rsidRPr="00000000">
              <w:rPr>
                <w:rFonts w:ascii="Arial" w:cs="Arial" w:eastAsia="Arial" w:hAnsi="Arial"/>
                <w:sz w:val="20"/>
                <w:szCs w:val="20"/>
                <w:highlight w:val="green"/>
                <w:rtl w:val="0"/>
              </w:rPr>
              <w:t xml:space="preserve">Credit Agreement</w:t>
            </w:r>
          </w:p>
          <w:p w:rsidR="00000000" w:rsidDel="00000000" w:rsidP="00000000" w:rsidRDefault="00000000" w:rsidRPr="00000000" w14:paraId="0000018E">
            <w:pPr>
              <w:widowControl w:val="0"/>
              <w:numPr>
                <w:ilvl w:val="0"/>
                <w:numId w:val="5"/>
              </w:numPr>
              <w:spacing w:after="0" w:before="0" w:line="240" w:lineRule="auto"/>
              <w:ind w:left="720" w:right="0" w:hanging="360"/>
              <w:rPr>
                <w:highlight w:val="green"/>
              </w:rPr>
            </w:pPr>
            <w:r w:rsidDel="00000000" w:rsidR="00000000" w:rsidRPr="00000000">
              <w:rPr>
                <w:rFonts w:ascii="Arial" w:cs="Arial" w:eastAsia="Arial" w:hAnsi="Arial"/>
                <w:sz w:val="20"/>
                <w:szCs w:val="20"/>
                <w:highlight w:val="green"/>
                <w:rtl w:val="0"/>
              </w:rPr>
              <w:t xml:space="preserve">Facilities Management Agreement</w:t>
            </w:r>
          </w:p>
          <w:p w:rsidR="00000000" w:rsidDel="00000000" w:rsidP="00000000" w:rsidRDefault="00000000" w:rsidRPr="00000000" w14:paraId="0000018F">
            <w:pPr>
              <w:widowControl w:val="0"/>
              <w:numPr>
                <w:ilvl w:val="0"/>
                <w:numId w:val="5"/>
              </w:numPr>
              <w:spacing w:after="200" w:before="0" w:lineRule="auto"/>
              <w:ind w:left="720" w:right="0" w:hanging="360"/>
              <w:rPr>
                <w:highlight w:val="green"/>
              </w:rPr>
            </w:pPr>
            <w:r w:rsidDel="00000000" w:rsidR="00000000" w:rsidRPr="00000000">
              <w:rPr>
                <w:rFonts w:ascii="Arial" w:cs="Arial" w:eastAsia="Arial" w:hAnsi="Arial"/>
                <w:sz w:val="20"/>
                <w:szCs w:val="20"/>
                <w:highlight w:val="green"/>
                <w:rtl w:val="0"/>
              </w:rPr>
              <w:t xml:space="preserve">Variations</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0">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1">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2">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3">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4">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5">
            <w:pPr>
              <w:spacing w:after="200" w:before="0" w:lineRule="auto"/>
              <w:rPr>
                <w:rFonts w:ascii="Arial" w:cs="Arial" w:eastAsia="Arial" w:hAnsi="Arial"/>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6">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7">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8">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9">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A">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B">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C">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D">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E">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F">
            <w:pPr>
              <w:spacing w:after="200" w:before="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0">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1">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A2">
      <w:pPr>
        <w:spacing w:after="0" w:before="0" w:line="259" w:lineRule="auto"/>
        <w:jc w:val="both"/>
        <w:rPr>
          <w:rFonts w:ascii="Arial" w:cs="Arial" w:eastAsia="Arial" w:hAnsi="Arial"/>
          <w:sz w:val="20"/>
          <w:szCs w:val="20"/>
          <w:highlight w:val="green"/>
        </w:rPr>
      </w:pPr>
      <w:r w:rsidDel="00000000" w:rsidR="00000000" w:rsidRPr="00000000">
        <w:rPr>
          <w:rtl w:val="0"/>
        </w:rPr>
      </w:r>
    </w:p>
    <w:p w:rsidR="00000000" w:rsidDel="00000000" w:rsidP="00000000" w:rsidRDefault="00000000" w:rsidRPr="00000000" w14:paraId="000001A3">
      <w:pPr>
        <w:shd w:fill="ffffff" w:val="clea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4">
      <w:pPr>
        <w:shd w:fill="ffffff" w:val="clear"/>
        <w:tabs>
          <w:tab w:val="left" w:leader="none" w:pos="1218"/>
        </w:tabs>
        <w:spacing w:after="0" w:before="0" w:line="240" w:lineRule="auto"/>
        <w:jc w:val="both"/>
        <w:rPr/>
      </w:pPr>
      <w:r w:rsidDel="00000000" w:rsidR="00000000" w:rsidRPr="00000000">
        <w:rPr>
          <w:rtl w:val="0"/>
        </w:rPr>
      </w:r>
    </w:p>
    <w:p w:rsidR="00000000" w:rsidDel="00000000" w:rsidP="00000000" w:rsidRDefault="00000000" w:rsidRPr="00000000" w14:paraId="000001A5">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The standards, guidance or practises for PFI Technical and Strategic Advice Services may apply, or subsequent versions, including variations for England, Wales, Scotland or Northern Ireland:</w:t>
      </w:r>
    </w:p>
    <w:p w:rsidR="00000000" w:rsidDel="00000000" w:rsidP="00000000" w:rsidRDefault="00000000" w:rsidRPr="00000000" w14:paraId="000001A6">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8.3.1.</w:t>
        <w:tab/>
        <w:t xml:space="preserve">Preparing for PFI Expiry, Infrastructure and Projects Authority                               </w:t>
        <w:tab/>
        <w:t xml:space="preserve">8.3.2.</w:t>
        <w:tab/>
        <w:t xml:space="preserve">The Sourcing Playbook HM Government                           </w:t>
        <w:tab/>
      </w:r>
    </w:p>
    <w:p w:rsidR="00000000" w:rsidDel="00000000" w:rsidP="00000000" w:rsidRDefault="00000000" w:rsidRPr="00000000" w14:paraId="000001A7">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8.3.3.</w:t>
        <w:tab/>
        <w:t xml:space="preserve">Delivery Model Assessment Guidance     </w:t>
      </w:r>
    </w:p>
    <w:p w:rsidR="00000000" w:rsidDel="00000000" w:rsidP="00000000" w:rsidRDefault="00000000" w:rsidRPr="00000000" w14:paraId="000001A8">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8.3.4.</w:t>
        <w:tab/>
        <w:t xml:space="preserve">Compliance with relevant RICS guidance                            </w:t>
        <w:tab/>
        <w:t xml:space="preserve">                   </w:t>
        <w:tab/>
      </w:r>
    </w:p>
    <w:p w:rsidR="00000000" w:rsidDel="00000000" w:rsidP="00000000" w:rsidRDefault="00000000" w:rsidRPr="00000000" w14:paraId="000001A9">
      <w:pPr>
        <w:shd w:fill="ffffff" w:val="clear"/>
        <w:tabs>
          <w:tab w:val="left" w:leader="none" w:pos="1218"/>
        </w:tabs>
        <w:spacing w:after="0" w:before="0" w:line="240" w:lineRule="auto"/>
        <w:ind w:left="720" w:righ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8.3.5.</w:t>
        <w:tab/>
        <w:t xml:space="preserve">Asset Condition Playbook Infrastructure projects authority</w:t>
      </w:r>
    </w:p>
    <w:p w:rsidR="00000000" w:rsidDel="00000000" w:rsidP="00000000" w:rsidRDefault="00000000" w:rsidRPr="00000000" w14:paraId="000001AA">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8.3.6.</w:t>
        <w:tab/>
        <w:t xml:space="preserve">Sector and departmental specific guidance (e.g. DHSC/ NHSE; DfE; OGP, GPA etc..)</w:t>
      </w:r>
    </w:p>
    <w:p w:rsidR="00000000" w:rsidDel="00000000" w:rsidP="00000000" w:rsidRDefault="00000000" w:rsidRPr="00000000" w14:paraId="000001AB">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8.3.7.</w:t>
        <w:tab/>
        <w:t xml:space="preserve">Building Safety act</w:t>
      </w:r>
    </w:p>
    <w:p w:rsidR="00000000" w:rsidDel="00000000" w:rsidP="00000000" w:rsidRDefault="00000000" w:rsidRPr="00000000" w14:paraId="000001AC">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8.3.8. Codes of Practice, Healthcare Technical Memorandums and SFG20 maintenance guidance.</w:t>
      </w:r>
    </w:p>
    <w:p w:rsidR="00000000" w:rsidDel="00000000" w:rsidP="00000000" w:rsidRDefault="00000000" w:rsidRPr="00000000" w14:paraId="000001AD">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8.3.9.</w:t>
        <w:tab/>
        <w:t xml:space="preserve">All relevant current Building regulations, including Fire Building Regulations 2010: Fire Safety Approved Document B-2019 framework</w:t>
        <w:tab/>
        <w:tab/>
        <w:tab/>
      </w:r>
    </w:p>
    <w:p w:rsidR="00000000" w:rsidDel="00000000" w:rsidP="00000000" w:rsidRDefault="00000000" w:rsidRPr="00000000" w14:paraId="000001AE">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8.3.10. All relevant HTM guidance</w:t>
        <w:tab/>
        <w:tab/>
        <w:tab/>
      </w:r>
    </w:p>
    <w:p w:rsidR="00000000" w:rsidDel="00000000" w:rsidP="00000000" w:rsidRDefault="00000000" w:rsidRPr="00000000" w14:paraId="000001AF">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8.3.11. All relevant BSI standards, including PAS 9980:2022 Fire risk appraisal</w:t>
        <w:tab/>
      </w:r>
    </w:p>
    <w:p w:rsidR="00000000" w:rsidDel="00000000" w:rsidP="00000000" w:rsidRDefault="00000000" w:rsidRPr="00000000" w14:paraId="000001B0">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8.3.12. All relevant current Fire Safety Law, including the Fire safety act 2021</w:t>
        <w:tab/>
        <w:tab/>
        <w:tab/>
      </w:r>
    </w:p>
    <w:p w:rsidR="00000000" w:rsidDel="00000000" w:rsidP="00000000" w:rsidRDefault="00000000" w:rsidRPr="00000000" w14:paraId="000001B1">
      <w:pPr>
        <w:shd w:fill="ffffff" w:val="clear"/>
        <w:spacing w:after="0" w:before="0" w:line="240" w:lineRule="auto"/>
        <w:ind w:left="720" w:right="0" w:firstLine="0"/>
        <w:jc w:val="both"/>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1B2">
      <w:pPr>
        <w:shd w:fill="ffffff" w:val="clea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3">
      <w:pPr>
        <w:spacing w:after="200" w:before="200" w:line="240" w:lineRule="auto"/>
        <w:r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rPr>
          <w:rtl w:val="0"/>
        </w:rPr>
      </w:r>
    </w:p>
    <w:p w:rsidR="00000000" w:rsidDel="00000000" w:rsidP="00000000" w:rsidRDefault="00000000" w:rsidRPr="00000000" w14:paraId="000001B4">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5">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6">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7">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8">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9">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A">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B">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C">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D">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E">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F">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C0">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C1">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C2">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C3">
      <w:pPr>
        <w:pStyle w:val="Heading2"/>
        <w:tabs>
          <w:tab w:val="left" w:leader="none" w:pos="420"/>
        </w:tabs>
        <w:ind w:left="850" w:right="0" w:firstLine="0"/>
        <w:rPr>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C4">
      <w:pPr>
        <w:pStyle w:val="Heading2"/>
        <w:numPr>
          <w:ilvl w:val="0"/>
          <w:numId w:val="1"/>
        </w:numPr>
        <w:tabs>
          <w:tab w:val="left" w:leader="none" w:pos="420"/>
        </w:tabs>
        <w:ind w:left="850" w:right="0" w:hanging="566"/>
        <w:rPr/>
      </w:pPr>
      <w:bookmarkStart w:colFirst="0" w:colLast="0" w:name="_99ll8rbtrwwo" w:id="8"/>
      <w:bookmarkEnd w:id="8"/>
      <w:r w:rsidDel="00000000" w:rsidR="00000000" w:rsidRPr="00000000">
        <w:rPr>
          <w:sz w:val="26"/>
          <w:szCs w:val="26"/>
          <w:rtl w:val="0"/>
        </w:rPr>
        <w:t xml:space="preserve">Lot 8B - PFI Surveying Services</w:t>
      </w:r>
    </w:p>
    <w:p w:rsidR="00000000" w:rsidDel="00000000" w:rsidP="00000000" w:rsidRDefault="00000000" w:rsidRPr="00000000" w14:paraId="000001C5">
      <w:pPr>
        <w:shd w:fill="ffffff" w:val="clear"/>
        <w:tabs>
          <w:tab w:val="left" w:leader="none" w:pos="1218"/>
        </w:tabs>
        <w:spacing w:after="0" w:before="0" w:line="240" w:lineRule="auto"/>
        <w:ind w:left="36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C6">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The purpose of the PFI Surveying Services Lot is to allow for the provision of asset condition surveys, studies and strategic advice to support with the operation, expiry and future service delivery of the PFI estate, providing technical due diligence where required. Services outlined in this framework fully support the delivery of standardised processes as defined in Infrastructure Project Authority PFI guidance and collaborative ways of working</w:t>
      </w:r>
      <w:r w:rsidDel="00000000" w:rsidR="00000000" w:rsidRPr="00000000">
        <w:rPr>
          <w:rFonts w:ascii="Arial" w:cs="Arial" w:eastAsia="Arial" w:hAnsi="Arial"/>
          <w:sz w:val="20"/>
          <w:szCs w:val="20"/>
          <w:highlight w:val="white"/>
          <w:rtl w:val="0"/>
        </w:rPr>
        <w:t xml:space="preserve">.    </w:t>
      </w:r>
      <w:r w:rsidDel="00000000" w:rsidR="00000000" w:rsidRPr="00000000">
        <w:rPr>
          <w:rtl w:val="0"/>
        </w:rPr>
      </w:r>
    </w:p>
    <w:p w:rsidR="00000000" w:rsidDel="00000000" w:rsidP="00000000" w:rsidRDefault="00000000" w:rsidRPr="00000000" w14:paraId="000001C7">
      <w:pPr>
        <w:numPr>
          <w:ilvl w:val="1"/>
          <w:numId w:val="1"/>
        </w:numPr>
        <w:shd w:fill="ffffff" w:val="clear"/>
        <w:tabs>
          <w:tab w:val="left" w:leader="none" w:pos="1218"/>
        </w:tabs>
        <w:ind w:left="850" w:right="0" w:hanging="566"/>
        <w:jc w:val="both"/>
        <w:rPr>
          <w:highlight w:val="white"/>
        </w:rPr>
      </w:pPr>
      <w:r w:rsidDel="00000000" w:rsidR="00000000" w:rsidRPr="00000000">
        <w:rPr>
          <w:rFonts w:ascii="Arial" w:cs="Arial" w:eastAsia="Arial" w:hAnsi="Arial"/>
          <w:sz w:val="20"/>
          <w:szCs w:val="20"/>
          <w:highlight w:val="white"/>
          <w:rtl w:val="0"/>
        </w:rPr>
        <w:t xml:space="preserve">The Services outlined in this framework scope are not an exhaustive list, the detail being specified by the Buyer in the Call-off Procedure. As a minimum the Supplier shall be capable of delivering asset condition surveys, as detailed within the service lines 8B.01/02/03/04/05, in accordance with IPA’s Asset Condition Playbook.</w:t>
      </w:r>
    </w:p>
    <w:p w:rsidR="00000000" w:rsidDel="00000000" w:rsidP="00000000" w:rsidRDefault="00000000" w:rsidRPr="00000000" w14:paraId="000001C8">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1C9">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8"/>
      <w:r w:rsidDel="00000000" w:rsidR="00000000" w:rsidRPr="00000000">
        <w:rPr>
          <w:rFonts w:ascii="Arial" w:cs="Arial" w:eastAsia="Arial" w:hAnsi="Arial"/>
          <w:sz w:val="20"/>
          <w:szCs w:val="20"/>
          <w:highlight w:val="green"/>
          <w:rtl w:val="0"/>
        </w:rPr>
        <w:t xml:space="preserve">RM6343 - Framework Schedule 1 - Specification</w:t>
      </w:r>
      <w:commentRangeEnd w:id="8"/>
      <w:r w:rsidDel="00000000" w:rsidR="00000000" w:rsidRPr="00000000">
        <w:commentReference w:id="8"/>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p w:rsidR="00000000" w:rsidDel="00000000" w:rsidP="00000000" w:rsidRDefault="00000000" w:rsidRPr="00000000" w14:paraId="000001CA">
      <w:pPr>
        <w:shd w:fill="ffffff" w:val="clear"/>
        <w:tabs>
          <w:tab w:val="left" w:leader="none" w:pos="1218"/>
        </w:tabs>
        <w:ind w:left="720" w:righ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w:t>
      </w:r>
    </w:p>
    <w:tbl>
      <w:tblPr>
        <w:tblStyle w:val="Table9"/>
        <w:tblW w:w="9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2205"/>
        <w:gridCol w:w="5850"/>
        <w:tblGridChange w:id="0">
          <w:tblGrid>
            <w:gridCol w:w="1335"/>
            <w:gridCol w:w="2205"/>
            <w:gridCol w:w="5850"/>
          </w:tblGrid>
        </w:tblGridChange>
      </w:tblGrid>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B">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Service Line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C">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D">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The Supplier shall provide the following Services, acting on behalf of the Buyer either as a landlord or tenant, which include, but are not limited to:</w:t>
            </w:r>
          </w:p>
          <w:p w:rsidR="00000000" w:rsidDel="00000000" w:rsidP="00000000" w:rsidRDefault="00000000" w:rsidRPr="00000000" w14:paraId="000001CE">
            <w:pPr>
              <w:spacing w:after="200" w:before="0" w:lineRule="auto"/>
              <w:jc w:val="center"/>
              <w:rPr>
                <w:rFonts w:ascii="Arial" w:cs="Arial" w:eastAsia="Arial" w:hAnsi="Arial"/>
                <w:b w:val="1"/>
                <w:bCs w:val="1"/>
                <w:sz w:val="20"/>
                <w:szCs w:val="20"/>
              </w:rPr>
            </w:pPr>
            <w:r w:rsidDel="00000000" w:rsidR="00000000" w:rsidRPr="00000000">
              <w:rPr>
                <w:rtl w:val="0"/>
              </w:rPr>
            </w:r>
          </w:p>
        </w:tc>
      </w:tr>
      <w:tr>
        <w:trPr>
          <w:cantSplit w:val="0"/>
          <w:trHeight w:val="1425"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CF">
            <w:pPr>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Example</w:t>
            </w:r>
          </w:p>
          <w:p w:rsidR="00000000" w:rsidDel="00000000" w:rsidP="00000000" w:rsidRDefault="00000000" w:rsidRPr="00000000" w14:paraId="000001D0">
            <w:pPr>
              <w:spacing w:after="200" w:before="0" w:lineRule="auto"/>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8B.01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D1">
            <w:pPr>
              <w:spacing w:after="200" w:before="0" w:lineRule="auto"/>
              <w:rPr>
                <w:rFonts w:ascii="Arial" w:cs="Arial" w:eastAsia="Arial" w:hAnsi="Arial"/>
                <w:b w:val="1"/>
                <w:bCs w:val="1"/>
                <w:sz w:val="20"/>
                <w:szCs w:val="20"/>
                <w:highlight w:val="green"/>
              </w:rPr>
            </w:pPr>
            <w:r w:rsidDel="00000000" w:rsidR="00000000" w:rsidRPr="00000000">
              <w:rPr>
                <w:rFonts w:ascii="Arial" w:cs="Arial" w:eastAsia="Arial" w:hAnsi="Arial"/>
                <w:b w:val="1"/>
                <w:bCs w:val="1"/>
                <w:sz w:val="20"/>
                <w:szCs w:val="20"/>
                <w:highlight w:val="green"/>
                <w:rtl w:val="0"/>
              </w:rPr>
              <w:t xml:space="preserve">PFI surveying services</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D2">
            <w:pPr>
              <w:spacing w:after="200" w:before="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Asset management compliance review, which will consist of an audit of the SPV/FMCo service provision. The review will include but not be limited to data and systems, health and safety risk review and compliance review. Provision of report(s) detailing risks, issues, non-compliances and actions required to rectify.</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3">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4">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5">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6">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7">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8">
            <w:pPr>
              <w:spacing w:after="200" w:before="0" w:lineRule="auto"/>
              <w:rPr>
                <w:rFonts w:ascii="Arial" w:cs="Arial" w:eastAsia="Arial" w:hAnsi="Arial"/>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9">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A">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B">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C">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D">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E">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F">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0">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1">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2">
            <w:pPr>
              <w:spacing w:after="200" w:before="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3">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4">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E5">
      <w:pPr>
        <w:spacing w:after="0" w:before="0" w:line="259" w:lineRule="auto"/>
        <w:jc w:val="both"/>
        <w:rPr>
          <w:rFonts w:ascii="Arial" w:cs="Arial" w:eastAsia="Arial" w:hAnsi="Arial"/>
          <w:sz w:val="20"/>
          <w:szCs w:val="20"/>
          <w:highlight w:val="white"/>
        </w:rPr>
      </w:pPr>
      <w:r w:rsidDel="00000000" w:rsidR="00000000" w:rsidRPr="00000000">
        <w:rPr>
          <w:rtl w:val="0"/>
        </w:rPr>
      </w:r>
    </w:p>
    <w:tbl>
      <w:tblPr>
        <w:tblStyle w:val="Table10"/>
        <w:tblW w:w="9027.0" w:type="dxa"/>
        <w:jc w:val="left"/>
        <w:tblInd w:w="-40.0" w:type="dxa"/>
        <w:tblLayout w:type="fixed"/>
        <w:tblLook w:val="0000"/>
      </w:tblPr>
      <w:tblGrid>
        <w:gridCol w:w="9027"/>
        <w:tblGridChange w:id="0">
          <w:tblGrid>
            <w:gridCol w:w="9027"/>
          </w:tblGrid>
        </w:tblGridChange>
      </w:tblGrid>
      <w:tr>
        <w:trPr>
          <w:cantSplit w:val="0"/>
          <w:trHeight w:val="315" w:hRule="atLeast"/>
          <w:tblHeader w:val="0"/>
        </w:trPr>
        <w:tc>
          <w:tcPr>
            <w:shd w:fill="auto" w:val="clear"/>
            <w:vAlign w:val="bottom"/>
          </w:tcPr>
          <w:p w:rsidR="00000000" w:rsidDel="00000000" w:rsidP="00000000" w:rsidRDefault="00000000" w:rsidRPr="00000000" w14:paraId="000001E6">
            <w:pPr>
              <w:keepNext w:val="1"/>
              <w:shd w:fill="ffffff" w:val="clear"/>
              <w:tabs>
                <w:tab w:val="left" w:leader="none" w:pos="1218"/>
              </w:tabs>
              <w:spacing w:after="200" w:before="0" w:lineRule="auto"/>
              <w:ind w:left="0" w:right="0" w:firstLine="0"/>
              <w:jc w:val="both"/>
              <w:rPr>
                <w:sz w:val="20"/>
                <w:szCs w:val="20"/>
                <w:highlight w:val="yellow"/>
              </w:rPr>
            </w:pPr>
            <w:r w:rsidDel="00000000" w:rsidR="00000000" w:rsidRPr="00000000">
              <w:rPr>
                <w:rtl w:val="0"/>
              </w:rPr>
            </w:r>
          </w:p>
        </w:tc>
      </w:tr>
    </w:tbl>
    <w:p w:rsidR="00000000" w:rsidDel="00000000" w:rsidP="00000000" w:rsidRDefault="00000000" w:rsidRPr="00000000" w14:paraId="000001E7">
      <w:pPr>
        <w:keepNext w:val="1"/>
        <w:shd w:fill="ffffff" w:val="clear"/>
        <w:tabs>
          <w:tab w:val="left" w:leader="none" w:pos="1218"/>
        </w:tabs>
        <w:spacing w:after="0" w:before="0" w:line="240" w:lineRule="auto"/>
        <w:ind w:left="425" w:right="0" w:firstLine="0"/>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E8">
      <w:pPr>
        <w:keepNext w:val="1"/>
        <w:shd w:fill="ffffff" w:val="clear"/>
        <w:tabs>
          <w:tab w:val="left" w:leader="none" w:pos="1218"/>
        </w:tabs>
        <w:spacing w:after="240" w:before="24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w:t>
        <w:tab/>
        <w:tab/>
        <w:tab/>
        <w:tab/>
        <w:tab/>
        <w:tab/>
        <w:tab/>
        <w:tab/>
        <w:tab/>
        <w:tab/>
      </w:r>
    </w:p>
    <w:p w:rsidR="00000000" w:rsidDel="00000000" w:rsidP="00000000" w:rsidRDefault="00000000" w:rsidRPr="00000000" w14:paraId="000001E9">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The following standards, guidance or practises for PFI surveying services may apply, or any subsequent versions including variations for England, Wales, Scotland or Northern Ireland</w:t>
      </w:r>
      <w:r w:rsidDel="00000000" w:rsidR="00000000" w:rsidRPr="00000000">
        <w:rPr>
          <w:rFonts w:ascii="Roboto" w:cs="Roboto" w:eastAsia="Roboto" w:hAnsi="Roboto"/>
          <w:color w:val="1f1f1f"/>
          <w:sz w:val="18"/>
          <w:szCs w:val="18"/>
          <w:highlight w:val="white"/>
          <w:rtl w:val="0"/>
        </w:rPr>
        <w:t xml:space="preserve">:</w:t>
      </w:r>
      <w:r w:rsidDel="00000000" w:rsidR="00000000" w:rsidRPr="00000000">
        <w:rPr>
          <w:rtl w:val="0"/>
        </w:rPr>
      </w:r>
    </w:p>
    <w:p w:rsidR="00000000" w:rsidDel="00000000" w:rsidP="00000000" w:rsidRDefault="00000000" w:rsidRPr="00000000" w14:paraId="000001EA">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9.4.1.</w:t>
        <w:tab/>
        <w:t xml:space="preserve">Asset Condition Playbook Infrastructure projects authority</w:t>
      </w:r>
    </w:p>
    <w:p w:rsidR="00000000" w:rsidDel="00000000" w:rsidP="00000000" w:rsidRDefault="00000000" w:rsidRPr="00000000" w14:paraId="000001EB">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9.4.2.</w:t>
        <w:tab/>
        <w:t xml:space="preserve">Compliance with relevant RICS guidance </w:t>
      </w:r>
    </w:p>
    <w:p w:rsidR="00000000" w:rsidDel="00000000" w:rsidP="00000000" w:rsidRDefault="00000000" w:rsidRPr="00000000" w14:paraId="000001EC">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9.4.3.</w:t>
        <w:tab/>
        <w:t xml:space="preserve">Sector and departmental specific guidance (e.g. DHSC/ NHSE; DfE; OGP, GPA etc..)</w:t>
      </w:r>
    </w:p>
    <w:p w:rsidR="00000000" w:rsidDel="00000000" w:rsidP="00000000" w:rsidRDefault="00000000" w:rsidRPr="00000000" w14:paraId="000001ED">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9.4.4.</w:t>
        <w:tab/>
        <w:t xml:space="preserve">Building Safety act</w:t>
      </w:r>
    </w:p>
    <w:p w:rsidR="00000000" w:rsidDel="00000000" w:rsidP="00000000" w:rsidRDefault="00000000" w:rsidRPr="00000000" w14:paraId="000001EE">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9.4.5. Codes of Practice, Healthcare Technical Memorandums and SFG20 maintenance guidance.</w:t>
      </w:r>
    </w:p>
    <w:p w:rsidR="00000000" w:rsidDel="00000000" w:rsidP="00000000" w:rsidRDefault="00000000" w:rsidRPr="00000000" w14:paraId="000001EF">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0">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1">
      <w:pPr>
        <w:shd w:fill="ffffff" w:val="clear"/>
        <w:spacing w:after="0" w:before="0" w:line="240" w:lineRule="auto"/>
        <w:ind w:left="720" w:right="0" w:firstLine="0"/>
        <w:jc w:val="both"/>
        <w:r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1F2">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3">
      <w:pPr>
        <w:pStyle w:val="Heading2"/>
        <w:numPr>
          <w:ilvl w:val="0"/>
          <w:numId w:val="1"/>
        </w:numPr>
        <w:tabs>
          <w:tab w:val="left" w:leader="none" w:pos="420"/>
        </w:tabs>
        <w:ind w:left="850" w:right="0" w:hanging="566"/>
        <w:rPr/>
      </w:pPr>
      <w:bookmarkStart w:colFirst="0" w:colLast="0" w:name="_op8m0gkqaehh" w:id="9"/>
      <w:bookmarkEnd w:id="9"/>
      <w:r w:rsidDel="00000000" w:rsidR="00000000" w:rsidRPr="00000000">
        <w:rPr>
          <w:sz w:val="26"/>
          <w:szCs w:val="26"/>
          <w:rtl w:val="0"/>
        </w:rPr>
        <w:t xml:space="preserve">Lot 8C - PFI Fire Safety and Audit </w:t>
      </w:r>
    </w:p>
    <w:p w:rsidR="00000000" w:rsidDel="00000000" w:rsidP="00000000" w:rsidRDefault="00000000" w:rsidRPr="00000000" w14:paraId="000001F4">
      <w:pPr>
        <w:numPr>
          <w:ilvl w:val="1"/>
          <w:numId w:val="1"/>
        </w:numPr>
        <w:shd w:fill="ffffff" w:val="clear"/>
        <w:tabs>
          <w:tab w:val="left" w:leader="none" w:pos="1218"/>
        </w:tabs>
        <w:ind w:left="850" w:right="0" w:hanging="566"/>
        <w:jc w:val="both"/>
        <w:rPr/>
      </w:pPr>
      <w:r w:rsidDel="00000000" w:rsidR="00000000" w:rsidRPr="00000000">
        <w:rPr>
          <w:rFonts w:ascii="Arial" w:cs="Arial" w:eastAsia="Arial" w:hAnsi="Arial"/>
          <w:sz w:val="20"/>
          <w:szCs w:val="20"/>
          <w:rtl w:val="0"/>
        </w:rPr>
        <w:t xml:space="preserve">The purpose of the Fire Safety and Audit Lot is the provision of fire surveys, studies and strategic advice to support with the operation, expiry and future service delivery of the PFI estate, providing technical due diligence where required. Services outlined in this Framework Specification fully support the delivery of standardised processes as defined in Infrastructure Project Authority PFI guidance and the collaborative ways of working.</w:t>
      </w:r>
    </w:p>
    <w:p w:rsidR="00000000" w:rsidDel="00000000" w:rsidP="00000000" w:rsidRDefault="00000000" w:rsidRPr="00000000" w14:paraId="000001F5">
      <w:pPr>
        <w:tabs>
          <w:tab w:val="left" w:leader="none" w:pos="1069"/>
        </w:tabs>
        <w:ind w:left="850" w:righ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Collaboration between the parties involved is essential when carrying out the works detailed within this Lot.</w:t>
      </w:r>
    </w:p>
    <w:p w:rsidR="00000000" w:rsidDel="00000000" w:rsidP="00000000" w:rsidRDefault="00000000" w:rsidRPr="00000000" w14:paraId="000001F6">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1F7">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9"/>
      <w:r w:rsidDel="00000000" w:rsidR="00000000" w:rsidRPr="00000000">
        <w:rPr>
          <w:rFonts w:ascii="Arial" w:cs="Arial" w:eastAsia="Arial" w:hAnsi="Arial"/>
          <w:sz w:val="20"/>
          <w:szCs w:val="20"/>
          <w:highlight w:val="green"/>
          <w:rtl w:val="0"/>
        </w:rPr>
        <w:t xml:space="preserve">RM6343 - Framework Schedule 1 - Specification</w:t>
      </w:r>
      <w:commentRangeEnd w:id="9"/>
      <w:r w:rsidDel="00000000" w:rsidR="00000000" w:rsidRPr="00000000">
        <w:commentReference w:id="9"/>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p w:rsidR="00000000" w:rsidDel="00000000" w:rsidP="00000000" w:rsidRDefault="00000000" w:rsidRPr="00000000" w14:paraId="000001F8">
      <w:pPr>
        <w:spacing w:after="200" w:before="200" w:line="240" w:lineRule="auto"/>
        <w:ind w:left="850" w:right="0" w:firstLine="0"/>
        <w:rPr>
          <w:rFonts w:ascii="Arial" w:cs="Arial" w:eastAsia="Arial" w:hAnsi="Arial"/>
          <w:sz w:val="20"/>
          <w:szCs w:val="20"/>
          <w:highlight w:val="green"/>
        </w:rPr>
      </w:pPr>
      <w:r w:rsidDel="00000000" w:rsidR="00000000" w:rsidRPr="00000000">
        <w:rPr>
          <w:rtl w:val="0"/>
        </w:rPr>
      </w:r>
    </w:p>
    <w:tbl>
      <w:tblPr>
        <w:tblStyle w:val="Table11"/>
        <w:tblW w:w="9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2205"/>
        <w:gridCol w:w="5850"/>
        <w:tblGridChange w:id="0">
          <w:tblGrid>
            <w:gridCol w:w="1335"/>
            <w:gridCol w:w="2205"/>
            <w:gridCol w:w="5850"/>
          </w:tblGrid>
        </w:tblGridChange>
      </w:tblGrid>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9">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Service Line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A">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B">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The Supplier shall provide the following Services, acting on behalf of the Buyer either as a landlord or tenant, which include, but are not limited to:</w:t>
            </w:r>
          </w:p>
          <w:p w:rsidR="00000000" w:rsidDel="00000000" w:rsidP="00000000" w:rsidRDefault="00000000" w:rsidRPr="00000000" w14:paraId="000001FC">
            <w:pPr>
              <w:spacing w:after="200" w:before="0" w:lineRule="auto"/>
              <w:jc w:val="center"/>
              <w:rPr>
                <w:rFonts w:ascii="Arial" w:cs="Arial" w:eastAsia="Arial" w:hAnsi="Arial"/>
                <w:b w:val="1"/>
                <w:bCs w:val="1"/>
                <w:sz w:val="20"/>
                <w:szCs w:val="20"/>
              </w:rPr>
            </w:pPr>
            <w:r w:rsidDel="00000000" w:rsidR="00000000" w:rsidRPr="00000000">
              <w:rPr>
                <w:rtl w:val="0"/>
              </w:rPr>
            </w:r>
          </w:p>
        </w:tc>
      </w:tr>
      <w:tr>
        <w:trPr>
          <w:cantSplit w:val="0"/>
          <w:trHeight w:val="3488" w:hRule="atLeast"/>
          <w:tblHeader w:val="0"/>
        </w:trPr>
        <w:tc>
          <w:tcPr>
            <w:tcBorders>
              <w:left w:color="000000" w:space="0" w:sz="4" w:val="single"/>
              <w:bottom w:color="000000" w:space="0" w:sz="4" w:val="single"/>
              <w:right w:color="000000" w:space="0" w:sz="4" w:val="single"/>
            </w:tcBorders>
            <w:shd w:fill="cccccc" w:val="clear"/>
            <w:tcMar>
              <w:top w:w="40.0" w:type="dxa"/>
              <w:left w:w="35.0" w:type="dxa"/>
              <w:bottom w:w="40.0" w:type="dxa"/>
              <w:right w:w="40.0" w:type="dxa"/>
            </w:tcMar>
            <w:vAlign w:val="bottom"/>
          </w:tcPr>
          <w:p w:rsidR="00000000" w:rsidDel="00000000" w:rsidP="00000000" w:rsidRDefault="00000000" w:rsidRPr="00000000" w14:paraId="000001FD">
            <w:pPr>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Example</w:t>
            </w:r>
          </w:p>
          <w:p w:rsidR="00000000" w:rsidDel="00000000" w:rsidP="00000000" w:rsidRDefault="00000000" w:rsidRPr="00000000" w14:paraId="000001FE">
            <w:pPr>
              <w:spacing w:after="200" w:before="0" w:lineRule="auto"/>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8C.01</w:t>
            </w:r>
          </w:p>
        </w:tc>
        <w:tc>
          <w:tcPr>
            <w:tcBorders>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1FF">
            <w:pPr>
              <w:spacing w:after="0" w:before="0" w:line="240" w:lineRule="auto"/>
              <w:ind w:left="-30" w:right="0" w:firstLine="0"/>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Audit - Design</w:t>
            </w:r>
          </w:p>
        </w:tc>
        <w:tc>
          <w:tcPr>
            <w:tcBorders>
              <w:bottom w:color="000000" w:space="0" w:sz="4" w:val="single"/>
              <w:right w:color="000000" w:space="0" w:sz="4" w:val="single"/>
            </w:tcBorders>
            <w:shd w:fill="cccccc" w:val="clear"/>
            <w:tcMar>
              <w:top w:w="40.0" w:type="dxa"/>
              <w:left w:w="40.0" w:type="dxa"/>
              <w:bottom w:w="40.0" w:type="dxa"/>
              <w:right w:w="40.0" w:type="dxa"/>
            </w:tcMar>
            <w:vAlign w:val="bottom"/>
          </w:tcPr>
          <w:p w:rsidR="00000000" w:rsidDel="00000000" w:rsidP="00000000" w:rsidRDefault="00000000" w:rsidRPr="00000000" w14:paraId="00000200">
            <w:pPr>
              <w:spacing w:after="0" w:before="0" w:line="24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Desktop Review to determine the design intent</w:t>
            </w:r>
          </w:p>
          <w:p w:rsidR="00000000" w:rsidDel="00000000" w:rsidP="00000000" w:rsidRDefault="00000000" w:rsidRPr="00000000" w14:paraId="00000201">
            <w:pPr>
              <w:spacing w:after="0" w:before="0" w:line="24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Fire documentation review, assessment and recommendations, including:</w:t>
            </w:r>
          </w:p>
          <w:p w:rsidR="00000000" w:rsidDel="00000000" w:rsidP="00000000" w:rsidRDefault="00000000" w:rsidRPr="00000000" w14:paraId="00000202">
            <w:pPr>
              <w:spacing w:after="0" w:before="0" w:line="240" w:lineRule="auto"/>
              <w:rPr>
                <w:rFonts w:ascii="Arial" w:cs="Arial" w:eastAsia="Arial" w:hAnsi="Arial"/>
                <w:sz w:val="20"/>
                <w:szCs w:val="20"/>
                <w:highlight w:val="green"/>
              </w:rPr>
            </w:pPr>
            <w:r w:rsidDel="00000000" w:rsidR="00000000" w:rsidRPr="00000000">
              <w:rPr>
                <w:rtl w:val="0"/>
              </w:rPr>
            </w:r>
          </w:p>
          <w:p w:rsidR="00000000" w:rsidDel="00000000" w:rsidP="00000000" w:rsidRDefault="00000000" w:rsidRPr="00000000" w14:paraId="00000203">
            <w:pPr>
              <w:spacing w:after="0" w:before="0" w:line="24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Review of the fire strategy, including reports, drawings and other associated documentation as required</w:t>
            </w:r>
          </w:p>
          <w:p w:rsidR="00000000" w:rsidDel="00000000" w:rsidP="00000000" w:rsidRDefault="00000000" w:rsidRPr="00000000" w14:paraId="00000204">
            <w:pPr>
              <w:spacing w:after="0" w:before="0" w:line="24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Review of the original construction requirements</w:t>
            </w:r>
          </w:p>
          <w:p w:rsidR="00000000" w:rsidDel="00000000" w:rsidP="00000000" w:rsidRDefault="00000000" w:rsidRPr="00000000" w14:paraId="00000205">
            <w:pPr>
              <w:spacing w:after="0" w:before="0" w:line="24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Assessment of compliance, using a risk based approach</w:t>
            </w:r>
          </w:p>
          <w:p w:rsidR="00000000" w:rsidDel="00000000" w:rsidP="00000000" w:rsidRDefault="00000000" w:rsidRPr="00000000" w14:paraId="00000206">
            <w:pPr>
              <w:spacing w:after="0" w:before="0" w:line="24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Provision of a gap analysis identifies opportunities for using a risk based approach where there is a departure from compliance with standard guidance.</w:t>
            </w:r>
          </w:p>
          <w:p w:rsidR="00000000" w:rsidDel="00000000" w:rsidP="00000000" w:rsidRDefault="00000000" w:rsidRPr="00000000" w14:paraId="00000207">
            <w:pPr>
              <w:spacing w:after="200" w:before="0" w:lineRule="auto"/>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Recommendations for progressive sampling in the form of a report.</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8">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9">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A">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B">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C">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D">
            <w:pPr>
              <w:spacing w:after="200" w:before="0" w:lineRule="auto"/>
              <w:rPr>
                <w:rFonts w:ascii="Arial" w:cs="Arial" w:eastAsia="Arial" w:hAnsi="Arial"/>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E">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F">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0">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1">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2">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3">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4">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5">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6">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7">
            <w:pPr>
              <w:spacing w:after="200" w:before="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8">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9">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21A">
      <w:pPr>
        <w:spacing w:after="0" w:before="0" w:line="259" w:lineRule="auto"/>
        <w:jc w:val="both"/>
        <w:rPr>
          <w:rFonts w:ascii="Arial" w:cs="Arial" w:eastAsia="Arial" w:hAnsi="Arial"/>
          <w:sz w:val="20"/>
          <w:szCs w:val="20"/>
          <w:highlight w:val="green"/>
        </w:rPr>
      </w:pPr>
      <w:r w:rsidDel="00000000" w:rsidR="00000000" w:rsidRPr="00000000">
        <w:rPr>
          <w:rtl w:val="0"/>
        </w:rPr>
      </w:r>
    </w:p>
    <w:p w:rsidR="00000000" w:rsidDel="00000000" w:rsidP="00000000" w:rsidRDefault="00000000" w:rsidRPr="00000000" w14:paraId="0000021B">
      <w:pPr>
        <w:tabs>
          <w:tab w:val="left" w:leader="none" w:pos="1069"/>
        </w:tabs>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21C">
      <w:pPr>
        <w:keepNext w:val="1"/>
        <w:shd w:fill="ffffff" w:val="clear"/>
        <w:tabs>
          <w:tab w:val="left" w:leader="none" w:pos="1218"/>
        </w:tabs>
        <w:spacing w:after="240" w:before="240" w:line="24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ab/>
        <w:tab/>
        <w:tab/>
        <w:tab/>
        <w:tab/>
        <w:tab/>
      </w:r>
    </w:p>
    <w:p w:rsidR="00000000" w:rsidDel="00000000" w:rsidP="00000000" w:rsidRDefault="00000000" w:rsidRPr="00000000" w14:paraId="0000021D">
      <w:pPr>
        <w:numPr>
          <w:ilvl w:val="1"/>
          <w:numId w:val="1"/>
        </w:numPr>
        <w:shd w:fill="ffffff" w:val="clear"/>
        <w:tabs>
          <w:tab w:val="left" w:leader="none" w:pos="1218"/>
        </w:tabs>
        <w:ind w:left="850" w:right="0" w:hanging="566"/>
        <w:jc w:val="both"/>
        <w:rPr>
          <w:highlight w:val="white"/>
        </w:rPr>
      </w:pPr>
      <w:r w:rsidDel="00000000" w:rsidR="00000000" w:rsidRPr="00000000">
        <w:rPr>
          <w:rFonts w:ascii="Arial" w:cs="Arial" w:eastAsia="Arial" w:hAnsi="Arial"/>
          <w:sz w:val="20"/>
          <w:szCs w:val="20"/>
          <w:highlight w:val="white"/>
          <w:rtl w:val="0"/>
        </w:rPr>
        <w:t xml:space="preserve">The following standards, guidance or practises for PFI Fire services may apply, or subsequent versions including variations for England, Wales, Scotland or Northern Ireland.</w:t>
      </w:r>
    </w:p>
    <w:p w:rsidR="00000000" w:rsidDel="00000000" w:rsidP="00000000" w:rsidRDefault="00000000" w:rsidRPr="00000000" w14:paraId="0000021E">
      <w:pPr>
        <w:shd w:fill="ffffff" w:val="clear"/>
        <w:spacing w:after="0" w:before="24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10.3.1.</w:t>
        <w:tab/>
        <w:t xml:space="preserve">All relevant current Building regulations, including Fire Building Regulations 2010: Fire Safety Approved Document B-2019 framework</w:t>
        <w:tab/>
        <w:tab/>
        <w:tab/>
      </w:r>
    </w:p>
    <w:p w:rsidR="00000000" w:rsidDel="00000000" w:rsidP="00000000" w:rsidRDefault="00000000" w:rsidRPr="00000000" w14:paraId="0000021F">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10.3.2.</w:t>
        <w:tab/>
        <w:t xml:space="preserve">All relevant HTM guidance</w:t>
        <w:tab/>
        <w:tab/>
        <w:tab/>
      </w:r>
    </w:p>
    <w:p w:rsidR="00000000" w:rsidDel="00000000" w:rsidP="00000000" w:rsidRDefault="00000000" w:rsidRPr="00000000" w14:paraId="00000220">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10.3.3.</w:t>
        <w:tab/>
        <w:t xml:space="preserve">All relevant BSI standards, including PAS 9980:2022 Fire risk appraisal</w:t>
        <w:tab/>
        <w:tab/>
      </w:r>
    </w:p>
    <w:p w:rsidR="00000000" w:rsidDel="00000000" w:rsidP="00000000" w:rsidRDefault="00000000" w:rsidRPr="00000000" w14:paraId="00000221">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10.3.4.</w:t>
        <w:tab/>
        <w:t xml:space="preserve">All relevant current Fire Safety Law, including the Fire safety act 2021</w:t>
        <w:tab/>
      </w:r>
    </w:p>
    <w:p w:rsidR="00000000" w:rsidDel="00000000" w:rsidP="00000000" w:rsidRDefault="00000000" w:rsidRPr="00000000" w14:paraId="00000222">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10.3.5.</w:t>
        <w:tab/>
        <w:t xml:space="preserve">Asset Condition Playbook - Infrastructure projects authority</w:t>
        <w:tab/>
        <w:tab/>
        <w:tab/>
      </w:r>
    </w:p>
    <w:p w:rsidR="00000000" w:rsidDel="00000000" w:rsidP="00000000" w:rsidRDefault="00000000" w:rsidRPr="00000000" w14:paraId="00000223">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10.3.6.</w:t>
        <w:tab/>
        <w:t xml:space="preserve">Compliance with relevant RICS guidance  </w:t>
        <w:tab/>
      </w:r>
    </w:p>
    <w:p w:rsidR="00000000" w:rsidDel="00000000" w:rsidP="00000000" w:rsidRDefault="00000000" w:rsidRPr="00000000" w14:paraId="00000224">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10.3.7.</w:t>
        <w:tab/>
        <w:t xml:space="preserve">Building Safety Act 2022</w:t>
      </w:r>
    </w:p>
    <w:p w:rsidR="00000000" w:rsidDel="00000000" w:rsidP="00000000" w:rsidRDefault="00000000" w:rsidRPr="00000000" w14:paraId="00000225">
      <w:pPr>
        <w:shd w:fill="ffffff" w:val="clear"/>
        <w:spacing w:after="0" w:before="0" w:line="240" w:lineRule="auto"/>
        <w:ind w:left="72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6">
      <w:pPr>
        <w:spacing w:after="200" w:before="200" w:line="240" w:lineRule="auto"/>
        <w:r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rPr>
          <w:rtl w:val="0"/>
        </w:rPr>
      </w:r>
    </w:p>
    <w:p w:rsidR="00000000" w:rsidDel="00000000" w:rsidP="00000000" w:rsidRDefault="00000000" w:rsidRPr="00000000" w14:paraId="00000227">
      <w:pPr>
        <w:shd w:fill="ffffff" w:val="clear"/>
        <w:spacing w:after="0" w:before="0" w:line="240" w:lineRule="auto"/>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228">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9">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2A">
      <w:pPr>
        <w:shd w:fill="ffffff" w:val="clear"/>
        <w:tabs>
          <w:tab w:val="left" w:leader="none" w:pos="1218"/>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B">
      <w:pPr>
        <w:pStyle w:val="Heading2"/>
        <w:numPr>
          <w:ilvl w:val="0"/>
          <w:numId w:val="1"/>
        </w:numPr>
        <w:tabs>
          <w:tab w:val="left" w:leader="none" w:pos="420"/>
        </w:tabs>
        <w:ind w:left="850" w:right="0" w:hanging="566"/>
        <w:rPr/>
      </w:pPr>
      <w:bookmarkStart w:colFirst="0" w:colLast="0" w:name="_e7ji8iuhptny" w:id="10"/>
      <w:bookmarkEnd w:id="10"/>
      <w:r w:rsidDel="00000000" w:rsidR="00000000" w:rsidRPr="00000000">
        <w:rPr>
          <w:sz w:val="26"/>
          <w:szCs w:val="26"/>
          <w:rtl w:val="0"/>
        </w:rPr>
        <w:t xml:space="preserve">Lot 8D - PFI Specialist Commercial and Financial Advice</w:t>
      </w:r>
    </w:p>
    <w:p w:rsidR="00000000" w:rsidDel="00000000" w:rsidP="00000000" w:rsidRDefault="00000000" w:rsidRPr="00000000" w14:paraId="0000022C">
      <w:pPr>
        <w:shd w:fill="ffffff" w:val="clear"/>
        <w:tabs>
          <w:tab w:val="left" w:leader="none" w:pos="1218"/>
        </w:tabs>
        <w:spacing w:after="0" w:before="0" w:line="240" w:lineRule="auto"/>
        <w:ind w:left="36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D">
      <w:pPr>
        <w:numPr>
          <w:ilvl w:val="1"/>
          <w:numId w:val="1"/>
        </w:numPr>
        <w:tabs>
          <w:tab w:val="left" w:leader="none" w:pos="1218"/>
        </w:tabs>
        <w:spacing w:after="160" w:before="0" w:line="259" w:lineRule="auto"/>
        <w:ind w:left="850" w:right="0" w:hanging="566"/>
        <w:rPr/>
      </w:pPr>
      <w:r w:rsidDel="00000000" w:rsidR="00000000" w:rsidRPr="00000000">
        <w:rPr>
          <w:rFonts w:ascii="Arial" w:cs="Arial" w:eastAsia="Arial" w:hAnsi="Arial"/>
          <w:sz w:val="20"/>
          <w:szCs w:val="20"/>
          <w:rtl w:val="0"/>
        </w:rPr>
        <w:t xml:space="preserve">The purpose of the PFI Specialist Commercial and Financial Advice Lot is to provide specialist commercial and financial advice in relation to privately financed projects that may be general advice or may relate to one or more specific transactions.</w:t>
      </w:r>
    </w:p>
    <w:p w:rsidR="00000000" w:rsidDel="00000000" w:rsidP="00000000" w:rsidRDefault="00000000" w:rsidRPr="00000000" w14:paraId="0000022E">
      <w:pPr>
        <w:numPr>
          <w:ilvl w:val="1"/>
          <w:numId w:val="1"/>
        </w:numPr>
        <w:tabs>
          <w:tab w:val="left" w:leader="none" w:pos="1218"/>
        </w:tabs>
        <w:spacing w:after="160" w:before="0" w:line="259" w:lineRule="auto"/>
        <w:ind w:left="850" w:right="0" w:hanging="566"/>
        <w:rPr/>
      </w:pPr>
      <w:r w:rsidDel="00000000" w:rsidR="00000000" w:rsidRPr="00000000">
        <w:rPr>
          <w:rFonts w:ascii="Arial" w:cs="Arial" w:eastAsia="Arial" w:hAnsi="Arial"/>
          <w:sz w:val="20"/>
          <w:szCs w:val="20"/>
          <w:rtl w:val="0"/>
        </w:rPr>
        <w:t xml:space="preserve">Advice may consist of the development, appraisal or execution of suitable strategies, policies and options for privately financed projects , including the provision of research, technical or market analysis. It could concern the financing, refinancing or variation of privately financed projects . Alternatively, it could require option appraisal, feasibility studies, valuation, due diligence or deal execution in connection with privately financed public sector assets and services.</w:t>
      </w:r>
    </w:p>
    <w:p w:rsidR="00000000" w:rsidDel="00000000" w:rsidP="00000000" w:rsidRDefault="00000000" w:rsidRPr="00000000" w14:paraId="0000022F">
      <w:pPr>
        <w:numPr>
          <w:ilvl w:val="1"/>
          <w:numId w:val="1"/>
        </w:numPr>
        <w:spacing w:after="200" w:before="200" w:line="240" w:lineRule="auto"/>
        <w:ind w:left="850" w:right="0" w:hanging="566"/>
        <w:rPr>
          <w:highlight w:val="green"/>
        </w:rPr>
      </w:pPr>
      <w:r w:rsidDel="00000000" w:rsidR="00000000" w:rsidRPr="00000000">
        <w:rPr>
          <w:rFonts w:ascii="Arial" w:cs="Arial" w:eastAsia="Arial" w:hAnsi="Arial"/>
          <w:sz w:val="20"/>
          <w:szCs w:val="20"/>
          <w:highlight w:val="green"/>
          <w:rtl w:val="0"/>
        </w:rPr>
        <w:t xml:space="preserve">Required service lines</w:t>
      </w:r>
    </w:p>
    <w:p w:rsidR="00000000" w:rsidDel="00000000" w:rsidP="00000000" w:rsidRDefault="00000000" w:rsidRPr="00000000" w14:paraId="00000230">
      <w:pPr>
        <w:spacing w:after="200" w:before="200" w:line="240" w:lineRule="auto"/>
        <w:ind w:left="850" w:right="0" w:firstLine="0"/>
        <w:rPr/>
      </w:pPr>
      <w:r w:rsidDel="00000000" w:rsidR="00000000" w:rsidRPr="00000000">
        <w:rPr>
          <w:rFonts w:ascii="Arial" w:cs="Arial" w:eastAsia="Arial" w:hAnsi="Arial"/>
          <w:sz w:val="20"/>
          <w:szCs w:val="20"/>
          <w:highlight w:val="green"/>
          <w:rtl w:val="0"/>
        </w:rPr>
        <w:t xml:space="preserve">[The Buyer is to complete this table by inputting their required service lines. A list of service lines for this lot can be found in </w:t>
      </w:r>
      <w:commentRangeStart w:id="10"/>
      <w:r w:rsidDel="00000000" w:rsidR="00000000" w:rsidRPr="00000000">
        <w:rPr>
          <w:rFonts w:ascii="Arial" w:cs="Arial" w:eastAsia="Arial" w:hAnsi="Arial"/>
          <w:sz w:val="20"/>
          <w:szCs w:val="20"/>
          <w:highlight w:val="green"/>
          <w:rtl w:val="0"/>
        </w:rPr>
        <w:t xml:space="preserve">RM6343 - Framework Schedule 1 - Specification</w:t>
      </w:r>
      <w:commentRangeEnd w:id="10"/>
      <w:r w:rsidDel="00000000" w:rsidR="00000000" w:rsidRPr="00000000">
        <w:commentReference w:id="10"/>
      </w:r>
      <w:r w:rsidDel="00000000" w:rsidR="00000000" w:rsidRPr="00000000">
        <w:rPr>
          <w:rFonts w:ascii="Arial" w:cs="Arial" w:eastAsia="Arial" w:hAnsi="Arial"/>
          <w:sz w:val="20"/>
          <w:szCs w:val="20"/>
          <w:highlight w:val="green"/>
          <w:rtl w:val="0"/>
        </w:rPr>
        <w:t xml:space="preserve">. Please delete the example before publishing the document.]</w:t>
      </w:r>
      <w:r w:rsidDel="00000000" w:rsidR="00000000" w:rsidRPr="00000000">
        <w:rPr>
          <w:rtl w:val="0"/>
        </w:rPr>
      </w:r>
    </w:p>
    <w:p w:rsidR="00000000" w:rsidDel="00000000" w:rsidP="00000000" w:rsidRDefault="00000000" w:rsidRPr="00000000" w14:paraId="00000231">
      <w:pPr>
        <w:spacing w:after="200" w:before="200" w:line="240" w:lineRule="auto"/>
        <w:ind w:left="850" w:right="0" w:firstLine="0"/>
        <w:rPr>
          <w:rFonts w:ascii="Arial" w:cs="Arial" w:eastAsia="Arial" w:hAnsi="Arial"/>
          <w:sz w:val="20"/>
          <w:szCs w:val="20"/>
          <w:highlight w:val="green"/>
        </w:rPr>
      </w:pPr>
      <w:r w:rsidDel="00000000" w:rsidR="00000000" w:rsidRPr="00000000">
        <w:rPr>
          <w:rtl w:val="0"/>
        </w:rPr>
      </w:r>
    </w:p>
    <w:tbl>
      <w:tblPr>
        <w:tblStyle w:val="Table12"/>
        <w:tblW w:w="9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2205"/>
        <w:gridCol w:w="5850"/>
        <w:tblGridChange w:id="0">
          <w:tblGrid>
            <w:gridCol w:w="1335"/>
            <w:gridCol w:w="2205"/>
            <w:gridCol w:w="5850"/>
          </w:tblGrid>
        </w:tblGridChange>
      </w:tblGrid>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32">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Service Line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33">
            <w:pPr>
              <w:spacing w:after="200" w:before="0"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High Level 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34">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The Supplier shall provide the following Services, acting on behalf of the Buyer either as a landlord or tenant, which include, but are not limited to:</w:t>
            </w:r>
          </w:p>
          <w:p w:rsidR="00000000" w:rsidDel="00000000" w:rsidP="00000000" w:rsidRDefault="00000000" w:rsidRPr="00000000" w14:paraId="00000235">
            <w:pPr>
              <w:spacing w:after="200" w:before="0" w:lineRule="auto"/>
              <w:jc w:val="center"/>
              <w:rPr>
                <w:rFonts w:ascii="Arial" w:cs="Arial" w:eastAsia="Arial" w:hAnsi="Arial"/>
                <w:b w:val="1"/>
                <w:bCs w:val="1"/>
                <w:sz w:val="20"/>
                <w:szCs w:val="20"/>
              </w:rPr>
            </w:pPr>
            <w:r w:rsidDel="00000000" w:rsidR="00000000" w:rsidRPr="00000000">
              <w:rPr>
                <w:rtl w:val="0"/>
              </w:rPr>
            </w:r>
          </w:p>
        </w:tc>
      </w:tr>
      <w:tr>
        <w:trPr>
          <w:cantSplit w:val="0"/>
          <w:trHeight w:val="1425"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36">
            <w:pPr>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Example</w:t>
            </w:r>
          </w:p>
          <w:p w:rsidR="00000000" w:rsidDel="00000000" w:rsidP="00000000" w:rsidRDefault="00000000" w:rsidRPr="00000000" w14:paraId="00000237">
            <w:pPr>
              <w:widowControl w:val="0"/>
              <w:spacing w:after="0" w:before="0" w:line="240" w:lineRule="auto"/>
              <w:ind w:left="-30" w:right="0" w:firstLine="0"/>
              <w:jc w:val="center"/>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8D.01</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38">
            <w:pPr>
              <w:widowControl w:val="0"/>
              <w:spacing w:after="0" w:before="0" w:line="240" w:lineRule="auto"/>
              <w:ind w:left="-30" w:right="0" w:firstLine="0"/>
              <w:jc w:val="center"/>
              <w:rPr>
                <w:rFonts w:ascii="Arial" w:cs="Arial" w:eastAsia="Arial" w:hAnsi="Arial"/>
                <w:b w:val="1"/>
                <w:bCs w:val="1"/>
                <w:sz w:val="20"/>
                <w:szCs w:val="20"/>
                <w:highlight w:val="green"/>
              </w:rPr>
            </w:pPr>
            <w:r w:rsidDel="00000000" w:rsidR="00000000" w:rsidRPr="00000000">
              <w:rPr>
                <w:rFonts w:ascii="Arial" w:cs="Arial" w:eastAsia="Arial" w:hAnsi="Arial"/>
                <w:b w:val="1"/>
                <w:bCs w:val="1"/>
                <w:sz w:val="20"/>
                <w:szCs w:val="20"/>
                <w:highlight w:val="green"/>
                <w:rtl w:val="0"/>
              </w:rPr>
              <w:t xml:space="preserve">PFI Specialist Commercial and Financial Advice</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39">
            <w:pPr>
              <w:spacing w:after="200" w:before="0" w:line="259" w:lineRule="auto"/>
              <w:ind w:left="0" w:right="0" w:firstLine="0"/>
              <w:rPr>
                <w:rFonts w:ascii="Arial" w:cs="Arial" w:eastAsia="Arial" w:hAnsi="Arial"/>
                <w:sz w:val="20"/>
                <w:szCs w:val="20"/>
                <w:highlight w:val="green"/>
              </w:rPr>
            </w:pPr>
            <w:r w:rsidDel="00000000" w:rsidR="00000000" w:rsidRPr="00000000">
              <w:rPr>
                <w:rFonts w:ascii="Arial" w:cs="Arial" w:eastAsia="Arial" w:hAnsi="Arial"/>
                <w:sz w:val="20"/>
                <w:szCs w:val="20"/>
                <w:highlight w:val="green"/>
                <w:rtl w:val="0"/>
              </w:rPr>
              <w:t xml:space="preserve">Advice on the financing aspects of privately financed projects and programmes (including corporate balance sheet financing and project finance).</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A">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B">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C">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D">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E">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F">
            <w:pPr>
              <w:spacing w:after="200" w:before="0" w:lineRule="auto"/>
              <w:rPr>
                <w:rFonts w:ascii="Arial" w:cs="Arial" w:eastAsia="Arial" w:hAnsi="Arial"/>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0">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1">
            <w:pPr>
              <w:spacing w:after="200" w:before="0" w:lineRule="auto"/>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2">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3">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4">
            <w:pPr>
              <w:spacing w:after="200" w:before="0" w:line="276"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5">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6">
            <w:pPr>
              <w:spacing w:after="20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7">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8">
            <w:pPr>
              <w:spacing w:after="200" w:before="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9">
            <w:pPr>
              <w:spacing w:after="200" w:before="0" w:lineRule="auto"/>
              <w:jc w:val="cente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A">
            <w:pPr>
              <w:spacing w:after="200" w:before="0" w:lineRule="auto"/>
              <w:rPr>
                <w:rFonts w:ascii="Arial" w:cs="Arial" w:eastAsia="Arial" w:hAnsi="Arial"/>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B">
            <w:pPr>
              <w:spacing w:after="200" w:before="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24C">
      <w:pPr>
        <w:spacing w:after="0" w:before="0" w:line="259" w:lineRule="auto"/>
        <w:jc w:val="both"/>
        <w:rPr>
          <w:rFonts w:ascii="Arial" w:cs="Arial" w:eastAsia="Arial" w:hAnsi="Arial"/>
          <w:sz w:val="20"/>
          <w:szCs w:val="20"/>
          <w:highlight w:val="green"/>
        </w:rPr>
      </w:pPr>
      <w:r w:rsidDel="00000000" w:rsidR="00000000" w:rsidRPr="00000000">
        <w:rPr>
          <w:rtl w:val="0"/>
        </w:rPr>
      </w:r>
    </w:p>
    <w:p w:rsidR="00000000" w:rsidDel="00000000" w:rsidP="00000000" w:rsidRDefault="00000000" w:rsidRPr="00000000" w14:paraId="0000024D">
      <w:pPr>
        <w:tabs>
          <w:tab w:val="left" w:leader="none" w:pos="1218"/>
        </w:tabs>
        <w:spacing w:after="160" w:before="0" w:line="259" w:lineRule="auto"/>
        <w:ind w:left="850" w:right="0" w:firstLine="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w:t>
        <w:tab/>
        <w:t xml:space="preserve">           </w:t>
        <w:tab/>
      </w:r>
    </w:p>
    <w:p w:rsidR="00000000" w:rsidDel="00000000" w:rsidP="00000000" w:rsidRDefault="00000000" w:rsidRPr="00000000" w14:paraId="0000024E">
      <w:pPr>
        <w:rPr>
          <w:rFonts w:ascii="Arial" w:cs="Arial" w:eastAsia="Arial" w:hAnsi="Arial"/>
          <w:sz w:val="20"/>
          <w:szCs w:val="20"/>
        </w:rPr>
      </w:pPr>
      <w:r w:rsidDel="00000000" w:rsidR="00000000" w:rsidRPr="00000000">
        <w:rPr>
          <w:rFonts w:ascii="Arial" w:cs="Arial" w:eastAsia="Arial" w:hAnsi="Arial"/>
          <w:sz w:val="20"/>
          <w:szCs w:val="20"/>
          <w:rtl w:val="0"/>
        </w:rPr>
        <w:t xml:space="preserve">11.4.</w:t>
        <w:tab/>
        <w:t xml:space="preserve">Services should be delivered to the appropriate RICS standards, guidance or practises as currently published.</w:t>
      </w:r>
    </w:p>
    <w:p w:rsidR="00000000" w:rsidDel="00000000" w:rsidP="00000000" w:rsidRDefault="00000000" w:rsidRPr="00000000" w14:paraId="0000024F">
      <w:pPr>
        <w:spacing w:after="200" w:before="200" w:line="240" w:lineRule="auto"/>
        <w:rPr/>
        <w:sectPr>
          <w:headerReference r:id="rId10" w:type="default"/>
          <w:footerReference r:id="rId11" w:type="default"/>
          <w:type w:val="nextPage"/>
          <w:pgSz w:h="16838" w:w="11906" w:orient="portrait"/>
          <w:pgMar w:bottom="1440" w:top="1440" w:left="1440" w:right="1440" w:header="708" w:footer="708"/>
        </w:sectPr>
      </w:pPr>
      <w:r w:rsidDel="00000000" w:rsidR="00000000" w:rsidRPr="00000000">
        <w:rPr>
          <w:rFonts w:ascii="Arial" w:cs="Arial" w:eastAsia="Arial" w:hAnsi="Arial"/>
          <w:sz w:val="20"/>
          <w:szCs w:val="20"/>
          <w:highlight w:val="green"/>
          <w:rtl w:val="0"/>
        </w:rPr>
        <w:t xml:space="preserve">[The Buyer may define their required standards here or provide details of where such requirements can be located within the bid pack e.g. </w:t>
      </w:r>
      <w:r w:rsidDel="00000000" w:rsidR="00000000" w:rsidRPr="00000000">
        <w:rPr>
          <w:rFonts w:ascii="Arial" w:cs="Arial" w:eastAsia="Arial" w:hAnsi="Arial"/>
          <w:i w:val="1"/>
          <w:iCs w:val="1"/>
          <w:sz w:val="20"/>
          <w:szCs w:val="20"/>
          <w:highlight w:val="green"/>
          <w:rtl w:val="0"/>
        </w:rPr>
        <w:t xml:space="preserve">“Please see Call-Off Schedule X for more information”</w:t>
      </w:r>
      <w:r w:rsidDel="00000000" w:rsidR="00000000" w:rsidRPr="00000000">
        <w:rPr>
          <w:rFonts w:ascii="Arial" w:cs="Arial" w:eastAsia="Arial" w:hAnsi="Arial"/>
          <w:sz w:val="20"/>
          <w:szCs w:val="20"/>
          <w:highlight w:val="green"/>
          <w:rtl w:val="0"/>
        </w:rPr>
        <w:t xml:space="preserve">.]</w:t>
      </w:r>
      <w:r w:rsidDel="00000000" w:rsidR="00000000" w:rsidRPr="00000000">
        <w:rPr>
          <w:rtl w:val="0"/>
        </w:rPr>
      </w:r>
    </w:p>
    <w:p w:rsidR="00000000" w:rsidDel="00000000" w:rsidP="00000000" w:rsidRDefault="00000000" w:rsidRPr="00000000" w14:paraId="00000250">
      <w:pPr>
        <w:pStyle w:val="Heading1"/>
        <w:tabs>
          <w:tab w:val="left" w:leader="none" w:pos="1134"/>
          <w:tab w:val="left" w:leader="none" w:pos="1134"/>
        </w:tabs>
        <w:spacing w:line="259" w:lineRule="auto"/>
        <w:rPr/>
        <w:sectPr>
          <w:headerReference r:id="rId12" w:type="default"/>
          <w:footerReference r:id="rId13" w:type="default"/>
          <w:type w:val="nextPage"/>
          <w:pgSz w:h="16838" w:w="11906" w:orient="portrait"/>
          <w:pgMar w:bottom="1440" w:top="1440" w:left="1440" w:right="1440" w:header="708" w:footer="708"/>
        </w:sectPr>
      </w:pPr>
      <w:bookmarkStart w:colFirst="0" w:colLast="0" w:name="_rzb6iybxm3mx" w:id="11"/>
      <w:bookmarkEnd w:id="11"/>
      <w:r w:rsidDel="00000000" w:rsidR="00000000" w:rsidRPr="00000000">
        <w:rPr>
          <w:rtl w:val="0"/>
        </w:rPr>
        <w:t xml:space="preserve">APPENDIX A - xxxxxx</w:t>
      </w:r>
    </w:p>
    <w:p w:rsidR="00000000" w:rsidDel="00000000" w:rsidP="00000000" w:rsidRDefault="00000000" w:rsidRPr="00000000" w14:paraId="00000251">
      <w:pPr>
        <w:pStyle w:val="Heading1"/>
        <w:tabs>
          <w:tab w:val="left" w:leader="none" w:pos="1134"/>
          <w:tab w:val="left" w:leader="none" w:pos="1134"/>
        </w:tabs>
        <w:spacing w:line="259" w:lineRule="auto"/>
        <w:rPr/>
      </w:pPr>
      <w:bookmarkStart w:colFirst="0" w:colLast="0" w:name="_oqs9rfhhlkhz" w:id="12"/>
      <w:bookmarkEnd w:id="12"/>
      <w:r w:rsidDel="00000000" w:rsidR="00000000" w:rsidRPr="00000000">
        <w:rPr>
          <w:rtl w:val="0"/>
        </w:rPr>
        <w:t xml:space="preserve">APPENDIX B - xxxxxxx</w:t>
      </w:r>
    </w:p>
    <w:p w:rsidR="00000000" w:rsidDel="00000000" w:rsidP="00000000" w:rsidRDefault="00000000" w:rsidRPr="00000000" w14:paraId="00000252">
      <w:pPr>
        <w:spacing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53">
      <w:pPr>
        <w:tabs>
          <w:tab w:val="left" w:leader="none" w:pos="709"/>
          <w:tab w:val="left" w:leader="none" w:pos="1134"/>
        </w:tabs>
        <w:spacing w:after="0" w:before="0" w:line="240" w:lineRule="auto"/>
        <w:jc w:val="both"/>
        <w:rPr/>
      </w:pPr>
      <w:r w:rsidDel="00000000" w:rsidR="00000000" w:rsidRPr="00000000">
        <w:rPr>
          <w:rtl w:val="0"/>
        </w:rPr>
      </w:r>
    </w:p>
    <w:sectPr>
      <w:headerReference r:id="rId14" w:type="default"/>
      <w:footerReference r:id="rId15" w:type="default"/>
      <w:type w:val="nextPage"/>
      <w:pgSz w:h="16838" w:w="11906" w:orient="portrait"/>
      <w:pgMar w:bottom="1440" w:top="1440" w:left="1440" w:right="1440" w:header="708" w:footer="708"/>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Karen Cox" w:id="4" w:date="2025-12-23T17:12:28Z">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10" w:date="2025-12-23T17:12:28Z">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1" w:date="2025-12-23T17:12:28Z">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7" w:date="2025-12-23T17:12:28Z">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3" w:date="2025-12-23T17:12:28Z">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9" w:date="2025-12-23T17:12:28Z">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0" w:date="2025-12-23T17:12:28Z">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6" w:date="2025-12-23T17:12:28Z">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2" w:date="2025-12-23T17:12:28Z">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8" w:date="2025-12-23T17:12:28Z">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 w:author="Karen Cox" w:id="5" w:date="2025-12-23T17:12:28Z">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link</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0">
    <w:pPr>
      <w:tabs>
        <w:tab w:val="center" w:leader="none" w:pos="4513"/>
        <w:tab w:val="right" w:leader="none" w:pos="9026"/>
      </w:tabs>
      <w:spacing w:after="0" w:before="0" w:line="240" w:lineRule="auto"/>
      <w:jc w:val="both"/>
      <w:rPr>
        <w:color w:val="bfbfbf"/>
      </w:rPr>
    </w:pPr>
    <w:r w:rsidDel="00000000" w:rsidR="00000000" w:rsidRPr="00000000">
      <w:rPr>
        <w:rtl w:val="0"/>
      </w:rPr>
    </w:r>
  </w:p>
  <w:p w:rsidR="00000000" w:rsidDel="00000000" w:rsidP="00000000" w:rsidRDefault="00000000" w:rsidRPr="00000000" w14:paraId="00000261">
    <w:pPr>
      <w:tabs>
        <w:tab w:val="center" w:leader="none" w:pos="4513"/>
        <w:tab w:val="right" w:leader="none" w:pos="9026"/>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RM6343</w:t>
      <w:tab/>
      <w:t xml:space="preserve">                                           </w:t>
    </w:r>
  </w:p>
  <w:p w:rsidR="00000000" w:rsidDel="00000000" w:rsidP="00000000" w:rsidRDefault="00000000" w:rsidRPr="00000000" w14:paraId="00000262">
    <w:pPr>
      <w:tabs>
        <w:tab w:val="center" w:leader="none" w:pos="4513"/>
        <w:tab w:val="right" w:leader="none" w:pos="9026"/>
      </w:tabs>
      <w:spacing w:after="0" w:before="0" w:line="240" w:lineRule="auto"/>
      <w:rPr/>
    </w:pPr>
    <w:r w:rsidDel="00000000" w:rsidR="00000000" w:rsidRPr="00000000">
      <w:rPr>
        <w:rFonts w:ascii="Arial" w:cs="Arial" w:eastAsia="Arial" w:hAnsi="Arial"/>
        <w:color w:val="000000"/>
        <w:sz w:val="20"/>
        <w:szCs w:val="20"/>
        <w:rtl w:val="0"/>
      </w:rPr>
      <w:t xml:space="preserve">Project Version: v</w:t>
    </w:r>
    <w:r w:rsidDel="00000000" w:rsidR="00000000" w:rsidRPr="00000000">
      <w:rPr>
        <w:rFonts w:ascii="Arial" w:cs="Arial" w:eastAsia="Arial" w:hAnsi="Arial"/>
        <w:sz w:val="20"/>
        <w:szCs w:val="20"/>
        <w:rtl w:val="0"/>
      </w:rPr>
      <w:t xml:space="preserve">1</w:t>
    </w:r>
    <w:r w:rsidDel="00000000" w:rsidR="00000000" w:rsidRPr="00000000">
      <w:rPr>
        <w:rFonts w:ascii="Arial" w:cs="Arial" w:eastAsia="Arial" w:hAnsi="Arial"/>
        <w:color w:val="000000"/>
        <w:sz w:val="20"/>
        <w:szCs w:val="20"/>
        <w:rtl w:val="0"/>
      </w:rPr>
      <w:t xml:space="preserve">.0</w:t>
      <w:tab/>
      <w:tab/>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3">
    <w:pPr>
      <w:spacing w:after="0" w:before="0" w:line="240" w:lineRule="auto"/>
      <w:jc w:val="both"/>
      <w:rPr/>
    </w:pPr>
    <w:r w:rsidDel="00000000" w:rsidR="00000000" w:rsidRPr="00000000">
      <w:rPr>
        <w:rFonts w:ascii="Arial" w:cs="Arial" w:eastAsia="Arial" w:hAnsi="Arial"/>
        <w:sz w:val="20"/>
        <w:szCs w:val="20"/>
        <w:rtl w:val="0"/>
      </w:rPr>
      <w:t xml:space="preserve">Model Version: v1.0</w:t>
      <w:tab/>
    </w:r>
    <w:r w:rsidDel="00000000" w:rsidR="00000000" w:rsidRPr="00000000">
      <w:rPr>
        <w:rtl w:val="0"/>
      </w:rPr>
      <w:tab/>
    </w:r>
    <w:bookmarkStart w:colFirst="0" w:colLast="0" w:name="vxv8t8xz3wka" w:id="13"/>
    <w:bookmarkEnd w:id="13"/>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4">
    <w:pPr>
      <w:tabs>
        <w:tab w:val="center" w:leader="none" w:pos="4513"/>
        <w:tab w:val="right" w:leader="none" w:pos="9026"/>
      </w:tabs>
      <w:spacing w:after="0" w:before="0" w:line="240" w:lineRule="auto"/>
      <w:jc w:val="both"/>
      <w:rPr>
        <w:color w:val="bfbfbf"/>
      </w:rPr>
    </w:pPr>
    <w:r w:rsidDel="00000000" w:rsidR="00000000" w:rsidRPr="00000000">
      <w:rPr>
        <w:rtl w:val="0"/>
      </w:rPr>
    </w:r>
  </w:p>
  <w:p w:rsidR="00000000" w:rsidDel="00000000" w:rsidP="00000000" w:rsidRDefault="00000000" w:rsidRPr="00000000" w14:paraId="00000265">
    <w:pPr>
      <w:tabs>
        <w:tab w:val="center" w:leader="none" w:pos="4513"/>
        <w:tab w:val="right" w:leader="none" w:pos="9026"/>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RM6343</w:t>
      <w:tab/>
      <w:t xml:space="preserve">                                           </w:t>
    </w:r>
  </w:p>
  <w:p w:rsidR="00000000" w:rsidDel="00000000" w:rsidP="00000000" w:rsidRDefault="00000000" w:rsidRPr="00000000" w14:paraId="00000266">
    <w:pPr>
      <w:tabs>
        <w:tab w:val="center" w:leader="none" w:pos="4513"/>
        <w:tab w:val="right" w:leader="none" w:pos="9026"/>
      </w:tabs>
      <w:spacing w:after="0" w:before="0" w:line="240" w:lineRule="auto"/>
      <w:rPr/>
    </w:pPr>
    <w:r w:rsidDel="00000000" w:rsidR="00000000" w:rsidRPr="00000000">
      <w:rPr>
        <w:rFonts w:ascii="Arial" w:cs="Arial" w:eastAsia="Arial" w:hAnsi="Arial"/>
        <w:color w:val="000000"/>
        <w:sz w:val="20"/>
        <w:szCs w:val="20"/>
        <w:rtl w:val="0"/>
      </w:rPr>
      <w:t xml:space="preserve">Project Version: v</w:t>
    </w:r>
    <w:r w:rsidDel="00000000" w:rsidR="00000000" w:rsidRPr="00000000">
      <w:rPr>
        <w:rFonts w:ascii="Arial" w:cs="Arial" w:eastAsia="Arial" w:hAnsi="Arial"/>
        <w:sz w:val="20"/>
        <w:szCs w:val="20"/>
        <w:rtl w:val="0"/>
      </w:rPr>
      <w:t xml:space="preserve">1</w:t>
    </w:r>
    <w:r w:rsidDel="00000000" w:rsidR="00000000" w:rsidRPr="00000000">
      <w:rPr>
        <w:rFonts w:ascii="Arial" w:cs="Arial" w:eastAsia="Arial" w:hAnsi="Arial"/>
        <w:color w:val="000000"/>
        <w:sz w:val="20"/>
        <w:szCs w:val="20"/>
        <w:rtl w:val="0"/>
      </w:rPr>
      <w:t xml:space="preserve">.0</w:t>
      <w:tab/>
      <w:tab/>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7">
    <w:pPr>
      <w:spacing w:after="0" w:before="0" w:line="240" w:lineRule="auto"/>
      <w:jc w:val="both"/>
      <w:rPr/>
    </w:pPr>
    <w:r w:rsidDel="00000000" w:rsidR="00000000" w:rsidRPr="00000000">
      <w:rPr>
        <w:rFonts w:ascii="Arial" w:cs="Arial" w:eastAsia="Arial" w:hAnsi="Arial"/>
        <w:sz w:val="20"/>
        <w:szCs w:val="20"/>
        <w:rtl w:val="0"/>
      </w:rPr>
      <w:t xml:space="preserve">Model Version: v1.0</w:t>
      <w:tab/>
    </w:r>
    <w:r w:rsidDel="00000000" w:rsidR="00000000" w:rsidRPr="00000000">
      <w:rPr>
        <w:rtl w:val="0"/>
      </w:rPr>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8">
    <w:pPr>
      <w:tabs>
        <w:tab w:val="center" w:leader="none" w:pos="4513"/>
        <w:tab w:val="right" w:leader="none" w:pos="9026"/>
      </w:tabs>
      <w:spacing w:after="0" w:before="0" w:line="240" w:lineRule="auto"/>
      <w:jc w:val="both"/>
      <w:rPr>
        <w:color w:val="bfbfbf"/>
      </w:rPr>
    </w:pPr>
    <w:r w:rsidDel="00000000" w:rsidR="00000000" w:rsidRPr="00000000">
      <w:rPr>
        <w:rtl w:val="0"/>
      </w:rPr>
    </w:r>
  </w:p>
  <w:p w:rsidR="00000000" w:rsidDel="00000000" w:rsidP="00000000" w:rsidRDefault="00000000" w:rsidRPr="00000000" w14:paraId="00000269">
    <w:pPr>
      <w:tabs>
        <w:tab w:val="center" w:leader="none" w:pos="4513"/>
        <w:tab w:val="right" w:leader="none" w:pos="9026"/>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RM6343</w:t>
      <w:tab/>
      <w:t xml:space="preserve">                                           </w:t>
    </w:r>
  </w:p>
  <w:p w:rsidR="00000000" w:rsidDel="00000000" w:rsidP="00000000" w:rsidRDefault="00000000" w:rsidRPr="00000000" w14:paraId="0000026A">
    <w:pPr>
      <w:tabs>
        <w:tab w:val="center" w:leader="none" w:pos="4513"/>
        <w:tab w:val="right" w:leader="none" w:pos="9026"/>
      </w:tabs>
      <w:spacing w:after="0" w:before="0" w:line="240" w:lineRule="auto"/>
      <w:rPr/>
    </w:pPr>
    <w:r w:rsidDel="00000000" w:rsidR="00000000" w:rsidRPr="00000000">
      <w:rPr>
        <w:rFonts w:ascii="Arial" w:cs="Arial" w:eastAsia="Arial" w:hAnsi="Arial"/>
        <w:color w:val="000000"/>
        <w:sz w:val="20"/>
        <w:szCs w:val="20"/>
        <w:rtl w:val="0"/>
      </w:rPr>
      <w:t xml:space="preserve">Project Version: v</w:t>
    </w:r>
    <w:r w:rsidDel="00000000" w:rsidR="00000000" w:rsidRPr="00000000">
      <w:rPr>
        <w:rFonts w:ascii="Arial" w:cs="Arial" w:eastAsia="Arial" w:hAnsi="Arial"/>
        <w:sz w:val="20"/>
        <w:szCs w:val="20"/>
        <w:rtl w:val="0"/>
      </w:rPr>
      <w:t xml:space="preserve">1</w:t>
    </w:r>
    <w:r w:rsidDel="00000000" w:rsidR="00000000" w:rsidRPr="00000000">
      <w:rPr>
        <w:rFonts w:ascii="Arial" w:cs="Arial" w:eastAsia="Arial" w:hAnsi="Arial"/>
        <w:color w:val="000000"/>
        <w:sz w:val="20"/>
        <w:szCs w:val="20"/>
        <w:rtl w:val="0"/>
      </w:rPr>
      <w:t xml:space="preserve">.0</w:t>
      <w:tab/>
      <w:tab/>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B">
    <w:pPr>
      <w:spacing w:after="0" w:before="0" w:line="240" w:lineRule="auto"/>
      <w:jc w:val="both"/>
      <w:rPr/>
    </w:pPr>
    <w:r w:rsidDel="00000000" w:rsidR="00000000" w:rsidRPr="00000000">
      <w:rPr>
        <w:rFonts w:ascii="Arial" w:cs="Arial" w:eastAsia="Arial" w:hAnsi="Arial"/>
        <w:sz w:val="20"/>
        <w:szCs w:val="20"/>
        <w:rtl w:val="0"/>
      </w:rPr>
      <w:t xml:space="preserve">Model Version: v1.0</w:t>
      <w:tab/>
    </w:r>
    <w:r w:rsidDel="00000000" w:rsidR="00000000" w:rsidRPr="00000000">
      <w:rPr>
        <w:rtl w:val="0"/>
      </w:rPr>
      <w:tab/>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C">
    <w:pPr>
      <w:tabs>
        <w:tab w:val="center" w:leader="none" w:pos="4513"/>
        <w:tab w:val="right" w:leader="none" w:pos="9026"/>
      </w:tabs>
      <w:spacing w:after="0" w:before="0" w:line="240" w:lineRule="auto"/>
      <w:jc w:val="both"/>
      <w:rPr>
        <w:color w:val="bfbfbf"/>
      </w:rPr>
    </w:pPr>
    <w:r w:rsidDel="00000000" w:rsidR="00000000" w:rsidRPr="00000000">
      <w:rPr>
        <w:rtl w:val="0"/>
      </w:rPr>
    </w:r>
  </w:p>
  <w:p w:rsidR="00000000" w:rsidDel="00000000" w:rsidP="00000000" w:rsidRDefault="00000000" w:rsidRPr="00000000" w14:paraId="0000026D">
    <w:pPr>
      <w:tabs>
        <w:tab w:val="center" w:leader="none" w:pos="4513"/>
        <w:tab w:val="right" w:leader="none" w:pos="9026"/>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RM6343</w:t>
      <w:tab/>
      <w:t xml:space="preserve">                                           </w:t>
    </w:r>
  </w:p>
  <w:p w:rsidR="00000000" w:rsidDel="00000000" w:rsidP="00000000" w:rsidRDefault="00000000" w:rsidRPr="00000000" w14:paraId="0000026E">
    <w:pPr>
      <w:tabs>
        <w:tab w:val="center" w:leader="none" w:pos="4513"/>
        <w:tab w:val="right" w:leader="none" w:pos="9026"/>
      </w:tabs>
      <w:spacing w:after="0" w:before="0" w:line="240" w:lineRule="auto"/>
      <w:rPr/>
    </w:pPr>
    <w:r w:rsidDel="00000000" w:rsidR="00000000" w:rsidRPr="00000000">
      <w:rPr>
        <w:rFonts w:ascii="Arial" w:cs="Arial" w:eastAsia="Arial" w:hAnsi="Arial"/>
        <w:color w:val="000000"/>
        <w:sz w:val="20"/>
        <w:szCs w:val="20"/>
        <w:rtl w:val="0"/>
      </w:rPr>
      <w:t xml:space="preserve">Project Version: v</w:t>
    </w:r>
    <w:r w:rsidDel="00000000" w:rsidR="00000000" w:rsidRPr="00000000">
      <w:rPr>
        <w:rFonts w:ascii="Arial" w:cs="Arial" w:eastAsia="Arial" w:hAnsi="Arial"/>
        <w:sz w:val="20"/>
        <w:szCs w:val="20"/>
        <w:rtl w:val="0"/>
      </w:rPr>
      <w:t xml:space="preserve">1</w:t>
    </w:r>
    <w:r w:rsidDel="00000000" w:rsidR="00000000" w:rsidRPr="00000000">
      <w:rPr>
        <w:rFonts w:ascii="Arial" w:cs="Arial" w:eastAsia="Arial" w:hAnsi="Arial"/>
        <w:color w:val="000000"/>
        <w:sz w:val="20"/>
        <w:szCs w:val="20"/>
        <w:rtl w:val="0"/>
      </w:rPr>
      <w:t xml:space="preserve">.0</w:t>
      <w:tab/>
      <w:tab/>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F">
    <w:pPr>
      <w:spacing w:after="0" w:before="0" w:line="240" w:lineRule="auto"/>
      <w:jc w:val="both"/>
      <w:rPr/>
    </w:pPr>
    <w:r w:rsidDel="00000000" w:rsidR="00000000" w:rsidRPr="00000000">
      <w:rPr>
        <w:rFonts w:ascii="Arial" w:cs="Arial" w:eastAsia="Arial" w:hAnsi="Arial"/>
        <w:sz w:val="20"/>
        <w:szCs w:val="20"/>
        <w:rtl w:val="0"/>
      </w:rPr>
      <w:t xml:space="preserve">Model Version: v1.0</w:t>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4">
    <w:pPr>
      <w:tabs>
        <w:tab w:val="center" w:leader="none" w:pos="4513"/>
        <w:tab w:val="right" w:leader="none" w:pos="9026"/>
      </w:tabs>
      <w:spacing w:after="0" w:before="0" w:line="240" w:lineRule="auto"/>
      <w:rPr/>
    </w:pPr>
    <w:r w:rsidDel="00000000" w:rsidR="00000000" w:rsidRPr="00000000">
      <w:rPr>
        <w:rFonts w:ascii="Arial" w:cs="Arial" w:eastAsia="Arial" w:hAnsi="Arial"/>
        <w:b w:val="1"/>
        <w:bCs w:val="1"/>
        <w:rtl w:val="0"/>
      </w:rPr>
      <w:t xml:space="preserve">Call-Off</w:t>
    </w:r>
    <w:r w:rsidDel="00000000" w:rsidR="00000000" w:rsidRPr="00000000">
      <w:rPr>
        <w:rFonts w:ascii="Arial" w:cs="Arial" w:eastAsia="Arial" w:hAnsi="Arial"/>
        <w:b w:val="1"/>
        <w:bCs w:val="1"/>
        <w:color w:val="000000"/>
        <w:rtl w:val="0"/>
      </w:rPr>
      <w:t xml:space="preserve"> Schedule </w:t>
    </w:r>
    <w:r w:rsidDel="00000000" w:rsidR="00000000" w:rsidRPr="00000000">
      <w:rPr>
        <w:rFonts w:ascii="Arial" w:cs="Arial" w:eastAsia="Arial" w:hAnsi="Arial"/>
        <w:b w:val="1"/>
        <w:bCs w:val="1"/>
        <w:rtl w:val="0"/>
      </w:rPr>
      <w:t xml:space="preserve">20</w:t>
    </w:r>
    <w:r w:rsidDel="00000000" w:rsidR="00000000" w:rsidRPr="00000000">
      <w:rPr>
        <w:rFonts w:ascii="Arial" w:cs="Arial" w:eastAsia="Arial" w:hAnsi="Arial"/>
        <w:b w:val="1"/>
        <w:bCs w:val="1"/>
        <w:color w:val="000000"/>
        <w:rtl w:val="0"/>
      </w:rPr>
      <w:t xml:space="preserve"> (Call</w:t>
    </w:r>
    <w:r w:rsidDel="00000000" w:rsidR="00000000" w:rsidRPr="00000000">
      <w:rPr>
        <w:rFonts w:ascii="Arial" w:cs="Arial" w:eastAsia="Arial" w:hAnsi="Arial"/>
        <w:b w:val="1"/>
        <w:bCs w:val="1"/>
        <w:rtl w:val="0"/>
      </w:rPr>
      <w:t xml:space="preserve">-</w:t>
    </w:r>
    <w:r w:rsidDel="00000000" w:rsidR="00000000" w:rsidRPr="00000000">
      <w:rPr>
        <w:rFonts w:ascii="Arial" w:cs="Arial" w:eastAsia="Arial" w:hAnsi="Arial"/>
        <w:b w:val="1"/>
        <w:bCs w:val="1"/>
        <w:color w:val="000000"/>
        <w:rtl w:val="0"/>
      </w:rPr>
      <w:t xml:space="preserve">Off Specification)</w:t>
    </w:r>
    <w:r w:rsidDel="00000000" w:rsidR="00000000" w:rsidRPr="00000000">
      <w:rPr>
        <w:rtl w:val="0"/>
      </w:rPr>
    </w:r>
  </w:p>
  <w:p w:rsidR="00000000" w:rsidDel="00000000" w:rsidP="00000000" w:rsidRDefault="00000000" w:rsidRPr="00000000" w14:paraId="00000255">
    <w:pPr>
      <w:tabs>
        <w:tab w:val="center" w:leader="none" w:pos="4513"/>
        <w:tab w:val="right" w:leader="none" w:pos="9026"/>
      </w:tabs>
      <w:spacing w:after="0" w:before="0" w:line="240" w:lineRule="auto"/>
      <w:rPr/>
    </w:pPr>
    <w:r w:rsidDel="00000000" w:rsidR="00000000" w:rsidRPr="00000000">
      <w:rPr>
        <w:rFonts w:ascii="Arial" w:cs="Arial" w:eastAsia="Arial" w:hAnsi="Arial"/>
        <w:color w:val="000000"/>
        <w:rtl w:val="0"/>
      </w:rPr>
      <w:t xml:space="preserve">Crown Copyright 20</w:t>
    </w:r>
    <w:r w:rsidDel="00000000" w:rsidR="00000000" w:rsidRPr="00000000">
      <w:rPr>
        <w:rFonts w:ascii="Arial" w:cs="Arial" w:eastAsia="Arial" w:hAnsi="Arial"/>
        <w:rtl w:val="0"/>
      </w:rPr>
      <w:t xml:space="preserve">25</w:t>
    </w:r>
    <w:r w:rsidDel="00000000" w:rsidR="00000000" w:rsidRPr="00000000">
      <w:rPr>
        <w:rtl w:val="0"/>
      </w:rPr>
    </w:r>
  </w:p>
  <w:p w:rsidR="00000000" w:rsidDel="00000000" w:rsidP="00000000" w:rsidRDefault="00000000" w:rsidRPr="00000000" w14:paraId="00000256">
    <w:pPr>
      <w:tabs>
        <w:tab w:val="center" w:leader="none" w:pos="4513"/>
        <w:tab w:val="right" w:leader="none" w:pos="9026"/>
      </w:tabs>
      <w:spacing w:after="0" w:before="0" w:line="240" w:lineRule="auto"/>
      <w:rPr>
        <w:rFonts w:ascii="Arial" w:cs="Arial" w:eastAsia="Arial" w:hAnsi="Arial"/>
        <w:b w:val="1"/>
        <w:bCs w:val="1"/>
        <w:color w:val="bfbfbf"/>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7">
    <w:pPr>
      <w:tabs>
        <w:tab w:val="center" w:leader="none" w:pos="4513"/>
        <w:tab w:val="right" w:leader="none" w:pos="9026"/>
      </w:tabs>
      <w:spacing w:after="0" w:before="0" w:line="240" w:lineRule="auto"/>
      <w:rPr/>
    </w:pPr>
    <w:r w:rsidDel="00000000" w:rsidR="00000000" w:rsidRPr="00000000">
      <w:rPr>
        <w:rFonts w:ascii="Arial" w:cs="Arial" w:eastAsia="Arial" w:hAnsi="Arial"/>
        <w:b w:val="1"/>
        <w:bCs w:val="1"/>
        <w:rtl w:val="0"/>
      </w:rPr>
      <w:t xml:space="preserve">Call-Off</w:t>
    </w:r>
    <w:r w:rsidDel="00000000" w:rsidR="00000000" w:rsidRPr="00000000">
      <w:rPr>
        <w:rFonts w:ascii="Arial" w:cs="Arial" w:eastAsia="Arial" w:hAnsi="Arial"/>
        <w:b w:val="1"/>
        <w:bCs w:val="1"/>
        <w:color w:val="000000"/>
        <w:rtl w:val="0"/>
      </w:rPr>
      <w:t xml:space="preserve"> Schedule </w:t>
    </w:r>
    <w:r w:rsidDel="00000000" w:rsidR="00000000" w:rsidRPr="00000000">
      <w:rPr>
        <w:rFonts w:ascii="Arial" w:cs="Arial" w:eastAsia="Arial" w:hAnsi="Arial"/>
        <w:b w:val="1"/>
        <w:bCs w:val="1"/>
        <w:rtl w:val="0"/>
      </w:rPr>
      <w:t xml:space="preserve">20</w:t>
    </w:r>
    <w:r w:rsidDel="00000000" w:rsidR="00000000" w:rsidRPr="00000000">
      <w:rPr>
        <w:rFonts w:ascii="Arial" w:cs="Arial" w:eastAsia="Arial" w:hAnsi="Arial"/>
        <w:b w:val="1"/>
        <w:bCs w:val="1"/>
        <w:color w:val="000000"/>
        <w:rtl w:val="0"/>
      </w:rPr>
      <w:t xml:space="preserve"> (Call</w:t>
    </w:r>
    <w:r w:rsidDel="00000000" w:rsidR="00000000" w:rsidRPr="00000000">
      <w:rPr>
        <w:rFonts w:ascii="Arial" w:cs="Arial" w:eastAsia="Arial" w:hAnsi="Arial"/>
        <w:b w:val="1"/>
        <w:bCs w:val="1"/>
        <w:rtl w:val="0"/>
      </w:rPr>
      <w:t xml:space="preserve">-</w:t>
    </w:r>
    <w:r w:rsidDel="00000000" w:rsidR="00000000" w:rsidRPr="00000000">
      <w:rPr>
        <w:rFonts w:ascii="Arial" w:cs="Arial" w:eastAsia="Arial" w:hAnsi="Arial"/>
        <w:b w:val="1"/>
        <w:bCs w:val="1"/>
        <w:color w:val="000000"/>
        <w:rtl w:val="0"/>
      </w:rPr>
      <w:t xml:space="preserve">Off Specification)</w:t>
    </w:r>
    <w:r w:rsidDel="00000000" w:rsidR="00000000" w:rsidRPr="00000000">
      <w:rPr>
        <w:rtl w:val="0"/>
      </w:rPr>
    </w:r>
  </w:p>
  <w:p w:rsidR="00000000" w:rsidDel="00000000" w:rsidP="00000000" w:rsidRDefault="00000000" w:rsidRPr="00000000" w14:paraId="00000258">
    <w:pPr>
      <w:tabs>
        <w:tab w:val="center" w:leader="none" w:pos="4513"/>
        <w:tab w:val="right" w:leader="none" w:pos="9026"/>
      </w:tabs>
      <w:spacing w:after="0" w:before="0" w:line="240" w:lineRule="auto"/>
      <w:rPr/>
    </w:pPr>
    <w:r w:rsidDel="00000000" w:rsidR="00000000" w:rsidRPr="00000000">
      <w:rPr>
        <w:rFonts w:ascii="Arial" w:cs="Arial" w:eastAsia="Arial" w:hAnsi="Arial"/>
        <w:color w:val="000000"/>
        <w:rtl w:val="0"/>
      </w:rPr>
      <w:t xml:space="preserve">Crown Copyright 20</w:t>
    </w:r>
    <w:r w:rsidDel="00000000" w:rsidR="00000000" w:rsidRPr="00000000">
      <w:rPr>
        <w:rFonts w:ascii="Arial" w:cs="Arial" w:eastAsia="Arial" w:hAnsi="Arial"/>
        <w:rtl w:val="0"/>
      </w:rPr>
      <w:t xml:space="preserve">25</w:t>
    </w:r>
    <w:r w:rsidDel="00000000" w:rsidR="00000000" w:rsidRPr="00000000">
      <w:rPr>
        <w:rtl w:val="0"/>
      </w:rPr>
    </w:r>
  </w:p>
  <w:p w:rsidR="00000000" w:rsidDel="00000000" w:rsidP="00000000" w:rsidRDefault="00000000" w:rsidRPr="00000000" w14:paraId="00000259">
    <w:pPr>
      <w:tabs>
        <w:tab w:val="center" w:leader="none" w:pos="4513"/>
        <w:tab w:val="right" w:leader="none" w:pos="9026"/>
      </w:tabs>
      <w:spacing w:after="0" w:before="0" w:line="240" w:lineRule="auto"/>
      <w:rPr>
        <w:rFonts w:ascii="Arial" w:cs="Arial" w:eastAsia="Arial" w:hAnsi="Arial"/>
        <w:b w:val="1"/>
        <w:bCs w:val="1"/>
        <w:color w:val="bfbfbf"/>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A">
    <w:pPr>
      <w:tabs>
        <w:tab w:val="center" w:leader="none" w:pos="4513"/>
        <w:tab w:val="right" w:leader="none" w:pos="9026"/>
      </w:tabs>
      <w:spacing w:after="0" w:before="0" w:line="240" w:lineRule="auto"/>
      <w:rPr/>
    </w:pPr>
    <w:r w:rsidDel="00000000" w:rsidR="00000000" w:rsidRPr="00000000">
      <w:rPr>
        <w:rFonts w:ascii="Arial" w:cs="Arial" w:eastAsia="Arial" w:hAnsi="Arial"/>
        <w:b w:val="1"/>
        <w:bCs w:val="1"/>
        <w:rtl w:val="0"/>
      </w:rPr>
      <w:t xml:space="preserve">Call-Off</w:t>
    </w:r>
    <w:r w:rsidDel="00000000" w:rsidR="00000000" w:rsidRPr="00000000">
      <w:rPr>
        <w:rFonts w:ascii="Arial" w:cs="Arial" w:eastAsia="Arial" w:hAnsi="Arial"/>
        <w:b w:val="1"/>
        <w:bCs w:val="1"/>
        <w:color w:val="000000"/>
        <w:rtl w:val="0"/>
      </w:rPr>
      <w:t xml:space="preserve"> Schedule </w:t>
    </w:r>
    <w:r w:rsidDel="00000000" w:rsidR="00000000" w:rsidRPr="00000000">
      <w:rPr>
        <w:rFonts w:ascii="Arial" w:cs="Arial" w:eastAsia="Arial" w:hAnsi="Arial"/>
        <w:b w:val="1"/>
        <w:bCs w:val="1"/>
        <w:rtl w:val="0"/>
      </w:rPr>
      <w:t xml:space="preserve">20</w:t>
    </w:r>
    <w:r w:rsidDel="00000000" w:rsidR="00000000" w:rsidRPr="00000000">
      <w:rPr>
        <w:rFonts w:ascii="Arial" w:cs="Arial" w:eastAsia="Arial" w:hAnsi="Arial"/>
        <w:b w:val="1"/>
        <w:bCs w:val="1"/>
        <w:color w:val="000000"/>
        <w:rtl w:val="0"/>
      </w:rPr>
      <w:t xml:space="preserve"> (Call</w:t>
    </w:r>
    <w:r w:rsidDel="00000000" w:rsidR="00000000" w:rsidRPr="00000000">
      <w:rPr>
        <w:rFonts w:ascii="Arial" w:cs="Arial" w:eastAsia="Arial" w:hAnsi="Arial"/>
        <w:b w:val="1"/>
        <w:bCs w:val="1"/>
        <w:rtl w:val="0"/>
      </w:rPr>
      <w:t xml:space="preserve">-</w:t>
    </w:r>
    <w:r w:rsidDel="00000000" w:rsidR="00000000" w:rsidRPr="00000000">
      <w:rPr>
        <w:rFonts w:ascii="Arial" w:cs="Arial" w:eastAsia="Arial" w:hAnsi="Arial"/>
        <w:b w:val="1"/>
        <w:bCs w:val="1"/>
        <w:color w:val="000000"/>
        <w:rtl w:val="0"/>
      </w:rPr>
      <w:t xml:space="preserve">Off Specification)</w:t>
    </w:r>
    <w:r w:rsidDel="00000000" w:rsidR="00000000" w:rsidRPr="00000000">
      <w:rPr>
        <w:rtl w:val="0"/>
      </w:rPr>
    </w:r>
  </w:p>
  <w:p w:rsidR="00000000" w:rsidDel="00000000" w:rsidP="00000000" w:rsidRDefault="00000000" w:rsidRPr="00000000" w14:paraId="0000025B">
    <w:pPr>
      <w:tabs>
        <w:tab w:val="center" w:leader="none" w:pos="4513"/>
        <w:tab w:val="right" w:leader="none" w:pos="9026"/>
      </w:tabs>
      <w:spacing w:after="0" w:before="0" w:line="240" w:lineRule="auto"/>
      <w:rPr/>
    </w:pPr>
    <w:r w:rsidDel="00000000" w:rsidR="00000000" w:rsidRPr="00000000">
      <w:rPr>
        <w:rFonts w:ascii="Arial" w:cs="Arial" w:eastAsia="Arial" w:hAnsi="Arial"/>
        <w:color w:val="000000"/>
        <w:rtl w:val="0"/>
      </w:rPr>
      <w:t xml:space="preserve">Crown Copyright 20</w:t>
    </w:r>
    <w:r w:rsidDel="00000000" w:rsidR="00000000" w:rsidRPr="00000000">
      <w:rPr>
        <w:rFonts w:ascii="Arial" w:cs="Arial" w:eastAsia="Arial" w:hAnsi="Arial"/>
        <w:rtl w:val="0"/>
      </w:rPr>
      <w:t xml:space="preserve">25</w:t>
    </w:r>
    <w:r w:rsidDel="00000000" w:rsidR="00000000" w:rsidRPr="00000000">
      <w:rPr>
        <w:rtl w:val="0"/>
      </w:rPr>
    </w:r>
  </w:p>
  <w:p w:rsidR="00000000" w:rsidDel="00000000" w:rsidP="00000000" w:rsidRDefault="00000000" w:rsidRPr="00000000" w14:paraId="0000025C">
    <w:pPr>
      <w:tabs>
        <w:tab w:val="center" w:leader="none" w:pos="4513"/>
        <w:tab w:val="right" w:leader="none" w:pos="9026"/>
      </w:tabs>
      <w:spacing w:after="0" w:before="0" w:line="240" w:lineRule="auto"/>
      <w:rPr>
        <w:rFonts w:ascii="Arial" w:cs="Arial" w:eastAsia="Arial" w:hAnsi="Arial"/>
        <w:b w:val="1"/>
        <w:bCs w:val="1"/>
        <w:color w:val="bfbfbf"/>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D">
    <w:pPr>
      <w:tabs>
        <w:tab w:val="center" w:leader="none" w:pos="4513"/>
        <w:tab w:val="right" w:leader="none" w:pos="9026"/>
      </w:tabs>
      <w:spacing w:after="0" w:before="0" w:line="240" w:lineRule="auto"/>
      <w:rPr/>
    </w:pPr>
    <w:r w:rsidDel="00000000" w:rsidR="00000000" w:rsidRPr="00000000">
      <w:rPr>
        <w:rFonts w:ascii="Arial" w:cs="Arial" w:eastAsia="Arial" w:hAnsi="Arial"/>
        <w:b w:val="1"/>
        <w:bCs w:val="1"/>
        <w:rtl w:val="0"/>
      </w:rPr>
      <w:t xml:space="preserve">Call-Off</w:t>
    </w:r>
    <w:r w:rsidDel="00000000" w:rsidR="00000000" w:rsidRPr="00000000">
      <w:rPr>
        <w:rFonts w:ascii="Arial" w:cs="Arial" w:eastAsia="Arial" w:hAnsi="Arial"/>
        <w:b w:val="1"/>
        <w:bCs w:val="1"/>
        <w:color w:val="000000"/>
        <w:rtl w:val="0"/>
      </w:rPr>
      <w:t xml:space="preserve"> Schedule </w:t>
    </w:r>
    <w:r w:rsidDel="00000000" w:rsidR="00000000" w:rsidRPr="00000000">
      <w:rPr>
        <w:rFonts w:ascii="Arial" w:cs="Arial" w:eastAsia="Arial" w:hAnsi="Arial"/>
        <w:b w:val="1"/>
        <w:bCs w:val="1"/>
        <w:rtl w:val="0"/>
      </w:rPr>
      <w:t xml:space="preserve">20</w:t>
    </w:r>
    <w:r w:rsidDel="00000000" w:rsidR="00000000" w:rsidRPr="00000000">
      <w:rPr>
        <w:rFonts w:ascii="Arial" w:cs="Arial" w:eastAsia="Arial" w:hAnsi="Arial"/>
        <w:b w:val="1"/>
        <w:bCs w:val="1"/>
        <w:color w:val="000000"/>
        <w:rtl w:val="0"/>
      </w:rPr>
      <w:t xml:space="preserve"> (Call</w:t>
    </w:r>
    <w:r w:rsidDel="00000000" w:rsidR="00000000" w:rsidRPr="00000000">
      <w:rPr>
        <w:rFonts w:ascii="Arial" w:cs="Arial" w:eastAsia="Arial" w:hAnsi="Arial"/>
        <w:b w:val="1"/>
        <w:bCs w:val="1"/>
        <w:rtl w:val="0"/>
      </w:rPr>
      <w:t xml:space="preserve">-</w:t>
    </w:r>
    <w:r w:rsidDel="00000000" w:rsidR="00000000" w:rsidRPr="00000000">
      <w:rPr>
        <w:rFonts w:ascii="Arial" w:cs="Arial" w:eastAsia="Arial" w:hAnsi="Arial"/>
        <w:b w:val="1"/>
        <w:bCs w:val="1"/>
        <w:color w:val="000000"/>
        <w:rtl w:val="0"/>
      </w:rPr>
      <w:t xml:space="preserve">Off Specification)</w:t>
    </w:r>
    <w:r w:rsidDel="00000000" w:rsidR="00000000" w:rsidRPr="00000000">
      <w:rPr>
        <w:rtl w:val="0"/>
      </w:rPr>
    </w:r>
  </w:p>
  <w:p w:rsidR="00000000" w:rsidDel="00000000" w:rsidP="00000000" w:rsidRDefault="00000000" w:rsidRPr="00000000" w14:paraId="0000025E">
    <w:pPr>
      <w:tabs>
        <w:tab w:val="center" w:leader="none" w:pos="4513"/>
        <w:tab w:val="right" w:leader="none" w:pos="9026"/>
      </w:tabs>
      <w:spacing w:after="0" w:before="0" w:line="240" w:lineRule="auto"/>
      <w:rPr/>
    </w:pPr>
    <w:r w:rsidDel="00000000" w:rsidR="00000000" w:rsidRPr="00000000">
      <w:rPr>
        <w:rFonts w:ascii="Arial" w:cs="Arial" w:eastAsia="Arial" w:hAnsi="Arial"/>
        <w:color w:val="000000"/>
        <w:rtl w:val="0"/>
      </w:rPr>
      <w:t xml:space="preserve">Crown Copyright 20</w:t>
    </w:r>
    <w:r w:rsidDel="00000000" w:rsidR="00000000" w:rsidRPr="00000000">
      <w:rPr>
        <w:rFonts w:ascii="Arial" w:cs="Arial" w:eastAsia="Arial" w:hAnsi="Arial"/>
        <w:rtl w:val="0"/>
      </w:rPr>
      <w:t xml:space="preserve">25</w:t>
    </w:r>
    <w:r w:rsidDel="00000000" w:rsidR="00000000" w:rsidRPr="00000000">
      <w:rPr>
        <w:rtl w:val="0"/>
      </w:rPr>
    </w:r>
  </w:p>
  <w:p w:rsidR="00000000" w:rsidDel="00000000" w:rsidP="00000000" w:rsidRDefault="00000000" w:rsidRPr="00000000" w14:paraId="0000025F">
    <w:pPr>
      <w:tabs>
        <w:tab w:val="center" w:leader="none" w:pos="4513"/>
        <w:tab w:val="right" w:leader="none" w:pos="9026"/>
      </w:tabs>
      <w:spacing w:after="0" w:before="0" w:line="240" w:lineRule="auto"/>
      <w:rPr>
        <w:rFonts w:ascii="Arial" w:cs="Arial" w:eastAsia="Arial" w:hAnsi="Arial"/>
        <w:b w:val="1"/>
        <w:bCs w:val="1"/>
        <w:color w:val="bfbfb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850" w:hanging="566"/>
      </w:pPr>
      <w:rPr>
        <w:rFonts w:ascii="Arial" w:cs="Arial" w:eastAsia="Arial" w:hAnsi="Arial"/>
        <w:b w:val="1"/>
        <w:bCs w:val="1"/>
        <w:sz w:val="26"/>
        <w:szCs w:val="26"/>
        <w:u w:val="none"/>
      </w:rPr>
    </w:lvl>
    <w:lvl w:ilvl="1">
      <w:start w:val="1"/>
      <w:numFmt w:val="decimal"/>
      <w:lvlText w:val="%1.%2."/>
      <w:lvlJc w:val="left"/>
      <w:pPr>
        <w:ind w:left="850" w:hanging="566"/>
      </w:pPr>
      <w:rPr>
        <w:rFonts w:ascii="Arial" w:cs="Arial" w:eastAsia="Arial" w:hAnsi="Arial"/>
        <w:sz w:val="20"/>
        <w:szCs w:val="20"/>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3"/>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2">
    <w:lvl w:ilvl="0">
      <w:start w:val="1"/>
      <w:numFmt w:val="decimal"/>
      <w:lvlText w:val="%1."/>
      <w:lvlJc w:val="left"/>
      <w:pPr>
        <w:ind w:left="850" w:hanging="566"/>
      </w:pPr>
      <w:rPr>
        <w:rFonts w:ascii="Arial" w:cs="Arial" w:eastAsia="Arial" w:hAnsi="Arial"/>
        <w:b w:val="1"/>
        <w:bCs w:val="1"/>
        <w:sz w:val="26"/>
        <w:szCs w:val="26"/>
        <w:u w:val="none"/>
      </w:rPr>
    </w:lvl>
    <w:lvl w:ilvl="1">
      <w:start w:val="1"/>
      <w:numFmt w:val="decimal"/>
      <w:lvlText w:val="%1.%2."/>
      <w:lvlJc w:val="left"/>
      <w:pPr>
        <w:ind w:left="850" w:hanging="566"/>
      </w:pPr>
      <w:rPr>
        <w:rFonts w:ascii="Arial" w:cs="Arial" w:eastAsia="Arial" w:hAnsi="Arial"/>
        <w:sz w:val="20"/>
        <w:szCs w:val="20"/>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3"/>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3">
    <w:lvl w:ilvl="0">
      <w:start w:val="1"/>
      <w:numFmt w:val="decimal"/>
      <w:lvlText w:val="%1."/>
      <w:lvlJc w:val="left"/>
      <w:pPr>
        <w:ind w:left="360" w:hanging="360"/>
      </w:pPr>
      <w:rPr>
        <w:rFonts w:ascii="Arial" w:cs="Arial" w:eastAsia="Arial" w:hAnsi="Arial"/>
        <w:b w:val="1"/>
        <w:bCs w:val="1"/>
        <w:sz w:val="26"/>
        <w:szCs w:val="26"/>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3"/>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4">
    <w:lvl w:ilvl="0">
      <w:start w:val="1"/>
      <w:numFmt w:val="decimal"/>
      <w:lvlText w:val="%1."/>
      <w:lvlJc w:val="left"/>
      <w:pPr>
        <w:ind w:left="1080" w:hanging="360"/>
      </w:pPr>
      <w:rPr>
        <w:rFonts w:ascii="Arial" w:cs="Arial" w:eastAsia="Arial" w:hAnsi="Arial"/>
        <w:u w:val="none"/>
      </w:rPr>
    </w:lvl>
    <w:lvl w:ilvl="1">
      <w:start w:val="1"/>
      <w:numFmt w:val="lowerLetter"/>
      <w:lvlText w:val="%2."/>
      <w:lvlJc w:val="left"/>
      <w:pPr>
        <w:ind w:left="1800" w:hanging="360"/>
      </w:pPr>
      <w:rPr>
        <w:u w:val="none"/>
      </w:rPr>
    </w:lvl>
    <w:lvl w:ilvl="2">
      <w:start w:val="1"/>
      <w:numFmt w:val="lowerRoman"/>
      <w:lvlText w:val="%3."/>
      <w:lvlJc w:val="right"/>
      <w:pPr>
        <w:ind w:left="2520" w:hanging="18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18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18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widowControl w:val="0"/>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480" w:line="240" w:lineRule="auto"/>
      <w:ind w:left="0" w:right="0" w:firstLine="0"/>
      <w:jc w:val="left"/>
    </w:pPr>
    <w:rPr>
      <w:rFonts w:ascii="Arial" w:cs="Arial" w:eastAsia="Arial" w:hAnsi="Arial"/>
      <w:b w:val="1"/>
      <w:bCs w:val="1"/>
      <w:i w:val="0"/>
      <w:iCs w:val="0"/>
      <w:smallCaps w:val="0"/>
      <w:strike w:val="0"/>
      <w:color w:val="000000"/>
      <w:sz w:val="24"/>
      <w:szCs w:val="24"/>
      <w:u w:val="singl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2160" w:right="0" w:hanging="360"/>
      <w:jc w:val="left"/>
    </w:pPr>
    <w:rPr>
      <w:rFonts w:ascii="Arial" w:cs="Arial" w:eastAsia="Arial" w:hAnsi="Arial"/>
      <w:b w:val="1"/>
      <w:bCs w:val="1"/>
      <w:i w:val="0"/>
      <w:iCs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pPr>
    <w:rPr>
      <w:rFonts w:ascii="Arial" w:cs="Arial" w:eastAsia="Arial" w:hAnsi="Arial"/>
      <w:b w:val="1"/>
      <w:bCs w:val="1"/>
      <w:i w:val="0"/>
      <w:iCs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pPr>
    <w:rPr>
      <w:rFonts w:ascii="Arial" w:cs="Arial" w:eastAsia="Arial" w:hAnsi="Arial"/>
      <w:b w:val="1"/>
      <w:bCs w:val="1"/>
      <w:i w:val="0"/>
      <w:iCs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85"/>
      </w:tabs>
      <w:spacing w:after="120" w:before="0" w:line="240" w:lineRule="auto"/>
      <w:ind w:left="4320" w:right="0" w:hanging="360"/>
      <w:jc w:val="both"/>
    </w:pPr>
    <w:rPr>
      <w:rFonts w:ascii="Arial" w:cs="Arial" w:eastAsia="Arial" w:hAnsi="Arial"/>
      <w:b w:val="0"/>
      <w:bCs w:val="0"/>
      <w:i w:val="0"/>
      <w:iCs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987"/>
        <w:tab w:val="left" w:leader="none" w:pos="-8420"/>
      </w:tabs>
      <w:spacing w:after="120" w:before="0" w:line="240" w:lineRule="auto"/>
      <w:ind w:left="4320" w:right="0" w:hanging="360"/>
      <w:jc w:val="both"/>
    </w:pPr>
    <w:rPr>
      <w:rFonts w:ascii="Arial" w:cs="Arial" w:eastAsia="Arial" w:hAnsi="Arial"/>
      <w:b w:val="0"/>
      <w:bCs w:val="0"/>
      <w:i w:val="0"/>
      <w:iCs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bCs w:val="1"/>
      <w:i w:val="0"/>
      <w:iCs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0" w:right="0" w:firstLine="0"/>
      <w:jc w:val="left"/>
    </w:pPr>
    <w:rPr>
      <w:rFonts w:ascii="Arial" w:cs="Arial" w:eastAsia="Arial" w:hAnsi="Arial"/>
      <w:b w:val="1"/>
      <w:bCs w:val="1"/>
      <w:i w:val="0"/>
      <w:iCs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40.0" w:type="dxa"/>
        <w:left w:w="40.0" w:type="dxa"/>
        <w:bottom w:w="40.0" w:type="dxa"/>
        <w:right w:w="40.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2.xml"/><Relationship Id="rId13" Type="http://schemas.openxmlformats.org/officeDocument/2006/relationships/footer" Target="footer3.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footer" Target="footer1.xml"/><Relationship Id="rId15" Type="http://schemas.openxmlformats.org/officeDocument/2006/relationships/footer" Target="footer4.xml"/><Relationship Id="rId14" Type="http://schemas.openxmlformats.org/officeDocument/2006/relationships/header" Target="header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gov.uk/government/publications/government-property-strategy-2022-2030"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13 September 2017 D1V2</vt:lpwstr>
  </property>
</Properties>
</file>